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Times New Roman" w:hAnsi="Times New Roman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30" w:line="240" w:lineRule="auto"/>
      </w:pPr>
      <w:r>
        <w:rPr>
          <w:rFonts w:ascii="Times New Roman" w:hAnsi="Times New Roman"/>
          <w:b/>
          <w:color w:val="17365D"/>
          <w:sz w:val="19"/>
        </w:rPr>
        <w:t xml:space="preserve">AI Enablement • AI Coding Agents &amp; MCP • Enterprise Technical Advocacy</w:t>
      </w:r>
    </w:p>
    <w:p>
      <w:pPr>
        <w:jc w:val="center"/>
        <w:spacing w:before="0" w:after="80" w:line="240" w:lineRule="auto"/>
      </w:pPr>
      <w:r>
        <w:rPr>
          <w:color w:val="1F1F1F"/>
          <w:sz w:val="18"/>
        </w:rPr>
        <w:t xml:space="preserve">Denver, CO • eberolston@yahoo.com • 501-307-3237 • </w:t>
      </w:r>
      <w:hyperlink r:id="rIdHyperlink1">
        <w:r>
          <w:rPr>
            <w:b/>
            <w:color w:val="17365D"/>
            <w:sz w:val="18"/>
            <w:u w:val="single"/>
          </w:rPr>
          <w:t xml:space="preserve">LinkedIn</w:t>
        </w:r>
      </w:hyperlink>
      <w:r>
        <w:rPr>
          <w:color w:val="1F1F1F"/>
          <w:sz w:val="18"/>
        </w:rPr>
        <w:t xml:space="preserve"> • </w:t>
      </w:r>
      <w:hyperlink r:id="rIdHyperlink2">
        <w:r>
          <w:rPr>
            <w:b/>
            <w:color w:val="17365D"/>
            <w:sz w:val="18"/>
            <w:u w:val="single"/>
          </w:rPr>
          <w:t xml:space="preserve">GitHub</w:t>
        </w:r>
      </w:hyperlink>
      <w:r>
        <w:rPr>
          <w:color w:val="1F1F1F"/>
          <w:sz w:val="18"/>
        </w:rPr>
        <w:t xml:space="preserve"> • </w:t>
      </w:r>
      <w:hyperlink r:id="rIdHyperlink3">
        <w:r>
          <w:rPr>
            <w:b/>
            <w:color w:val="17365D"/>
            <w:sz w:val="18"/>
            <w:u w:val="single"/>
          </w:rPr>
          <w:t xml:space="preserve">AI Guardians</w:t>
        </w:r>
      </w:hyperlink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Times New Roman" w:hAnsi="Times New Roman"/>
          <w:b/>
          <w:color w:val="17365D"/>
          <w:sz w:val="20"/>
        </w:rPr>
        <w:t xml:space="preserve">PROFESSIONAL SUMMARY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Technical Communicator and Solutions Architect with 20+ years of enterprise experience turning complex data systems into unified platforms across regulated financial services, insurance, and federal sectors. Brings 11 years at Acxiom Corporation deploying real-time verification and predictive scoring models for major insurance and financial clients, alongside Department-wide federal data modernization. Proven record establishing SDLC standards, training 85+ cohort users, and leading mission-critical technical escalations.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Pairs this enterprise foundation with hands-on AI enablement and agentic engineering — fluent in AI coding assistants including OpenAI Codex, Claude Code, and Google Antigravity, Model Context Protocol MCP tooling, harness engineering architecture, and structured prompting frameworks. Trained in production-grade agent governance including 4-layer harness isolation, bounded execution guardrails, trajectory observability, and OWASP agent security hardening — directly applicable to teaching engineering teams how to build robust, auditable AI systems in an insurance compliance environment. Holds a University of Denver graduate certificate in AI Strategy and a Harvard SEAS executive certificate in LLMs and Agentic AI.</w:t>
      </w:r>
    </w:p>
    <w:p>
      <w:pPr>
        <w:spacing w:before="0" w:after="80" w:line="240" w:lineRule="auto"/>
      </w:pPr>
      <w:r>
        <w:rPr>
          <w:b/>
          <w:i/>
          <w:color w:val="5B9BD5"/>
          <w:sz w:val="18"/>
        </w:rPr>
        <w:t xml:space="preserve">Winner of two Department of Interior Awards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Times New Roman" w:hAnsi="Times New Roman"/>
          <w:b/>
          <w:color w:val="17365D"/>
          <w:sz w:val="20"/>
        </w:rPr>
        <w:t xml:space="preserve">CORE COMPETENCIES</w:t>
      </w:r>
    </w:p>
    <w:p>
      <w:pPr>
        <w:spacing w:before="0" w:after="100" w:line="240" w:lineRule="auto"/>
      </w:pPr>
      <w:r>
        <w:rPr>
          <w:b/>
          <w:color w:val="1F1F1F"/>
          <w:sz w:val="17"/>
        </w:rPr>
        <w:t xml:space="preserve">▪ AI Enablement &amp; Developer Advocacy ▪ AI Coding Agent Fluency ▪ Model Context Protocol Integration ▪ Agentic Harness Engineering ▪ Trajectory Observability &amp; Evaluation ▪ Prompt Engineering &amp; Specification Frameworks ▪ Bounded Execution &amp; Loop Governance ▪ Technical Office Hours &amp; User Training ▪ Enterprise Toolchain Integration ▪ Multi-Agent Architecture &amp; Topologies ▪ Agent Security &amp; Sandboxing ▪ AI Adoption Metrics &amp; Measurement ▪ Python &amp; REST API Integration ▪ NIST AI RMF &amp; ISO 42001 ▪ Cross-Functional Stakeholder Alignment ▪ Change Management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Times New Roman" w:hAnsi="Times New Roman"/>
          <w:b/>
          <w:color w:val="17365D"/>
          <w:sz w:val="20"/>
        </w:rPr>
        <w:t xml:space="preserve">PROFESSIONAL EXPERIENCE</w:t>
      </w:r>
    </w:p>
    <w:p>
      <w:pPr>
        <w:spacing w:before="40" w:after="10" w:line="240" w:lineRule="auto"/>
      </w:pPr>
      <w:r>
        <w:rPr>
          <w:b/>
          <w:color w:val="17365D"/>
          <w:sz w:val="18"/>
        </w:rPr>
        <w:t xml:space="preserve">AI Engineering &amp; Enablement | AI Guardians LLC </w:t>
      </w:r>
      <w:r>
        <w:rPr>
          <w:i/>
          <w:color w:val="4A4A4A"/>
          <w:sz w:val="17"/>
        </w:rPr>
        <w:t xml:space="preserve">Denver, CO | Jan 2026–Present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Engineered autonomous multi-agent workflows and custom TOML/markdown agents using OpenAI Codex and Google Antigravity with runtime hooks, Plan Mode trade-off analysis, and automated build–test–fix loops.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Integrated enterprise toolchains including Figma, GitHub, Atlassian, and Google Workspace via Model Context Protocol servers and plugins; standardized agent context via AGENTS.md guidelines and reusable skill lifecycles.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Formulated enterprise prompting methodologies covering Outcome, Constraints, Scope, and Definition of Done, establishing evidence-based verification gates that replace agent self-assessment with deterministic testing.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Designed AI transformation toolkits, AI maturity assessments, use-case prioritization canvases, and governance guardrails based on NIST AI RMF 1.0 and ISO 42001.</w:t>
      </w:r>
    </w:p>
    <w:p>
      <w:pPr>
        <w:spacing w:before="40" w:after="10" w:line="240" w:lineRule="auto"/>
      </w:pPr>
      <w:r>
        <w:rPr>
          <w:b/>
          <w:color w:val="17365D"/>
          <w:sz w:val="18"/>
        </w:rPr>
        <w:t xml:space="preserve">Program Analyst, Acquisition Directorate | U.S. Department of the Interior </w:t>
      </w:r>
      <w:r>
        <w:rPr>
          <w:i/>
          <w:color w:val="4A4A4A"/>
          <w:sz w:val="17"/>
        </w:rPr>
        <w:t xml:space="preserve">Denver, CO | Jan–Sep 2025</w:t>
      </w:r>
    </w:p>
    <w:p>
      <w:pPr>
        <w:spacing w:before="0" w:after="20" w:line="240" w:lineRule="auto"/>
      </w:pPr>
      <w:r>
        <w:rPr>
          <w:i/>
          <w:color w:val="4A4A4A"/>
          <w:sz w:val="17"/>
        </w:rPr>
        <w:t xml:space="preserve">Cross-functional Analyst lead for Acquisition Directorate enterprise systems and business technology; GS-13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Senior Analyst for Acquisition Directorate enterprise financial system, managing business workflow, assuring data integrity, and ensuring business &amp; functional reliability in federal environment.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Delivered targeted user training and operational guidance that improved platform adoption and cut down recurring support tickets.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Resolved client &amp; platform vendor defects and contractual billing disputes.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Triaged enterprise system defects.</w:t>
      </w:r>
    </w:p>
    <w:p>
      <w:pPr>
        <w:spacing w:before="40" w:after="10" w:line="240" w:lineRule="auto"/>
      </w:pPr>
      <w:r>
        <w:rPr>
          <w:b/>
          <w:color w:val="17365D"/>
          <w:sz w:val="18"/>
        </w:rPr>
        <w:t xml:space="preserve">Senior Analyst Consultant | ARK Solutions — Client : IBC Acquisition Directorate </w:t>
      </w:r>
      <w:r>
        <w:rPr>
          <w:i/>
          <w:color w:val="4A4A4A"/>
          <w:sz w:val="17"/>
        </w:rPr>
        <w:t xml:space="preserve">Denver, CO | 2011–2025</w:t>
      </w:r>
    </w:p>
    <w:p>
      <w:pPr>
        <w:spacing w:before="0" w:after="20" w:line="240" w:lineRule="auto"/>
      </w:pPr>
      <w:r>
        <w:rPr>
          <w:i/>
          <w:color w:val="4A4A4A"/>
          <w:sz w:val="17"/>
        </w:rPr>
        <w:t xml:space="preserve">14-year enterprise business support, data migration, vendor support &amp; client training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Delivered agency-wide cohort enablement and client system training for 85+ users, driving adoption and reducing support demand across technical and business functions.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Department ETL Architect for the FBMS enterprise data conversion for 4 agencies, migrating, cleansing, and validating bureau databases into SAP S/4.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Served as Senior escalation lead handling enterprise incidents and Aviation payment negotiations.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Implemented framework to resolve financial discrepancies through realignment process.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PRISM system administration, role-based access, procurement compliance, schema updates.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Member of DOI Special Interest Group - FPDS reporting, Exemption &amp; security compliance.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Performed DataAct Audit Analytics.</w:t>
      </w:r>
    </w:p>
    <w:p>
      <w:pPr>
        <w:spacing w:before="40" w:after="10" w:line="240" w:lineRule="auto"/>
      </w:pPr>
      <w:r>
        <w:rPr>
          <w:b/>
          <w:color w:val="17365D"/>
          <w:sz w:val="18"/>
        </w:rPr>
        <w:t xml:space="preserve">Solutions Developer / Architect | Acxiom Corporation </w:t>
      </w:r>
      <w:r>
        <w:rPr>
          <w:i/>
          <w:color w:val="4A4A4A"/>
          <w:sz w:val="17"/>
        </w:rPr>
        <w:t xml:space="preserve">Little Rock, AR | 1999–2009</w:t>
      </w:r>
    </w:p>
    <w:p>
      <w:pPr>
        <w:spacing w:before="0" w:after="20" w:line="240" w:lineRule="auto"/>
      </w:pPr>
      <w:r>
        <w:rPr>
          <w:i/>
          <w:color w:val="4A4A4A"/>
          <w:sz w:val="17"/>
        </w:rPr>
        <w:t xml:space="preserve">Identity resolution, predictive scoring algorithms, and relational data warehousing; foundation of LiveRamp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Partnered with enterprise financial services and insurance clients including Citibank, Allstate, and GE Money to gather requirements, build consensus, and deploy mission-critical customer verification pipelines.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Built Citibank's online identity scoring model, real-time scoring algorithms for fraud prevention.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Standardized company-wide SDLC/SCM methodology as a process-improvement specialist on the Acxiom Methodology Board, leading cross-functional teams across PMO, project management, and SMEs.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Provided business and technical support for Application Verification System, SLA compliance.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Built and supported customer recognition, precision marketing and cross-selling solutions.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Times New Roman" w:hAnsi="Times New Roman"/>
          <w:b/>
          <w:color w:val="17365D"/>
          <w:sz w:val="20"/>
        </w:rPr>
        <w:t xml:space="preserve">AI ENGINEERING PORTFOLIO</w:t>
      </w:r>
    </w:p>
    <w:p>
      <w:pPr>
        <w:spacing w:before="40" w:after="10" w:line="240" w:lineRule="auto"/>
      </w:pPr>
      <w:r>
        <w:rPr>
          <w:b/>
          <w:color w:val="17365D"/>
          <w:sz w:val="18"/>
        </w:rPr>
        <w:t xml:space="preserve">Trading Copilot — Governed Multi-Agent Research Platform </w:t>
      </w:r>
      <w:r>
        <w:rPr>
          <w:i/>
          <w:color w:val="4A4A4A"/>
          <w:sz w:val="17"/>
        </w:rPr>
        <w:t xml:space="preserve">AI in Finance Nicole Koenigstein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Architected multi-agent equities research pipelines in LangGraph combining hierarchical supervisor and peer-to-peer topologies with bounded execution budgets and deterministic state machine transitions.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Implemented 4-layer harness architecture separating non-deterministic model proposals from deterministic policy enforcement, tool contracts, and zero-trust sandbox execution.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Integrated 6-measure trajectory observability via OpenTelemetry and self-hosted Langfuse to audit multi-step reasoning paths across Correctness, Grounding, Latency, Cost, Safety, and Auditability.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Enforced loop governance with 4 mandatory termination conditions and a 3-rung escalation ladder to eliminate runaway agent execution and mitigate coordination tax.</w:t>
      </w:r>
    </w:p>
    <w:p>
      <w:pPr>
        <w:spacing w:before="40" w:after="10" w:line="240" w:lineRule="auto"/>
      </w:pPr>
      <w:r>
        <w:rPr>
          <w:b/>
          <w:color w:val="17365D"/>
          <w:sz w:val="18"/>
        </w:rPr>
        <w:t xml:space="preserve">Multimodal Document Intelligence — Auditable Data Extraction Pipeline </w:t>
      </w:r>
      <w:r>
        <w:rPr>
          <w:i/>
          <w:color w:val="4A4A4A"/>
          <w:sz w:val="17"/>
        </w:rPr>
        <w:t xml:space="preserve">Stanford | 2026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Built an auditable document intelligence pipeline using LangGraph StateGraph &amp; OCR parsing for unstructured business documents, matching modular architectures like Symetra's docstream.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Enforced Pydantic contract validation, confidence scoring, prompt-injection anomaly gating, and semantic retrieval.</w:t>
      </w:r>
    </w:p>
    <w:p>
      <w:pPr>
        <w:spacing w:before="40" w:after="10" w:line="240" w:lineRule="auto"/>
      </w:pPr>
      <w:r>
        <w:rPr>
          <w:b/>
          <w:color w:val="17365D"/>
          <w:sz w:val="18"/>
        </w:rPr>
        <w:t xml:space="preserve">Codex &amp; Antigravity Agentic Systems — Enterprise Enablement &amp; MCP Platform </w:t>
      </w:r>
      <w:r>
        <w:rPr>
          <w:i/>
          <w:color w:val="4A4A4A"/>
          <w:sz w:val="17"/>
        </w:rPr>
        <w:t xml:space="preserve">AI Guardians | 2026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Built specialized multi-agent workflows with architect, validator, auditor, reviewer, and tester roles, configured with runtime hooks, tool contracts, and subagent orchestration.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Connected Figma, GitHub, Atlassian, and Google Workspace through Model Context Protocol and custom plugins; enforced bounded execution and human-in-the-loop approvals.</w:t>
      </w:r>
    </w:p>
    <w:p>
      <w:pPr>
        <w:spacing w:before="40" w:after="10" w:line="240" w:lineRule="auto"/>
      </w:pPr>
      <w:r>
        <w:rPr>
          <w:b/>
          <w:color w:val="17365D"/>
          <w:sz w:val="18"/>
        </w:rPr>
        <w:t xml:space="preserve">AI Incident Monitor — AI Risk Intelligence Platform </w:t>
      </w:r>
      <w:r>
        <w:rPr>
          <w:i/>
          <w:color w:val="4A4A4A"/>
          <w:sz w:val="17"/>
        </w:rPr>
        <w:t xml:space="preserve">AI Guardians LLC | 2026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color w:val="1F1F1F"/>
          <w:sz w:val="18"/>
        </w:rPr>
        <w:t xml:space="preserve">Architected Explainable AI incident severity scoring and compliance taxonomy mapping based on NIST AI RMF 1.0.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Times New Roman" w:hAnsi="Times New Roman"/>
          <w:b/>
          <w:color w:val="17365D"/>
          <w:sz w:val="20"/>
        </w:rPr>
        <w:t xml:space="preserve">EDUCATION &amp; PROFESSIONAL DEVELOPMENT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OpenAI Codex:</w:t>
      </w:r>
      <w:r>
        <w:rPr>
          <w:color w:val="1F1F1F"/>
          <w:sz w:val="18"/>
        </w:rPr>
        <w:t xml:space="preserve"> Agent Orchestration • MCP Integration • Context Engineering — Completed 7 intensive bootcamps across Fundamentals, Codex 201, and Codex 301 covering Plan Mode trade-off analysis, custom TOML/markdown agents, runtime hooks, parallel Git worktrees, and automated build–test–fix verification loops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Packt Certificate Course:</w:t>
      </w:r>
      <w:r>
        <w:rPr>
          <w:color w:val="1F1F1F"/>
          <w:sz w:val="18"/>
        </w:rPr>
        <w:t xml:space="preserve"> Agentic AI for Finance — Nicole Koenigstein — Harness Engineering • Multi-Agent Topologies • Trajectory Observability • Agent Security &amp; Sandboxing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UC Berkeley Extension:</w:t>
      </w:r>
      <w:r>
        <w:rPr>
          <w:color w:val="1F1F1F"/>
          <w:sz w:val="18"/>
        </w:rPr>
        <w:t xml:space="preserve"> Machine Learning and Deep Learning with Spark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University of Denver:</w:t>
      </w:r>
      <w:r>
        <w:rPr>
          <w:color w:val="1F1F1F"/>
          <w:sz w:val="18"/>
        </w:rPr>
        <w:t xml:space="preserve"> Graduate Certificate, AI Strategy &amp; Applications in IT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Stanford Continuing Studies:</w:t>
      </w:r>
      <w:r>
        <w:rPr>
          <w:color w:val="1F1F1F"/>
          <w:sz w:val="18"/>
        </w:rPr>
        <w:t xml:space="preserve"> Data Analysis with Python • Modern AI Architectures • AI Accountability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Harvard John A. Paulson SEAS:</w:t>
      </w:r>
      <w:r>
        <w:rPr>
          <w:color w:val="1F1F1F"/>
          <w:sz w:val="18"/>
        </w:rPr>
        <w:t xml:space="preserve"> Executive Certificate — LLMs: Transformer to Agentic AI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St. Joseph's College:</w:t>
      </w:r>
      <w:r>
        <w:rPr>
          <w:color w:val="1F1F1F"/>
          <w:sz w:val="18"/>
        </w:rPr>
        <w:t xml:space="preserve"> M.S. &amp; B.S., Computer Science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Honors &amp; Awards:</w:t>
      </w:r>
      <w:r>
        <w:rPr>
          <w:color w:val="1F1F1F"/>
          <w:sz w:val="18"/>
        </w:rPr>
        <w:t xml:space="preserve"> Interior Business Center Award for Excellence • DOI FBMS Special Recognition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AI Tech and Privacy Academy:</w:t>
      </w:r>
      <w:r>
        <w:rPr>
          <w:color w:val="1F1F1F"/>
          <w:sz w:val="18"/>
        </w:rPr>
        <w:t xml:space="preserve"> AI Governance &amp; Privacy Frameworks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Times New Roman" w:hAnsi="Times New Roman"/>
          <w:b/>
          <w:color w:val="17365D"/>
          <w:sz w:val="20"/>
        </w:rPr>
        <w:t xml:space="preserve">TECHNICAL PROFICIENCIES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AI Coding Agents &amp; LLMOps:</w:t>
      </w:r>
      <w:r>
        <w:rPr>
          <w:color w:val="1F1F1F"/>
          <w:sz w:val="18"/>
        </w:rPr>
        <w:t xml:space="preserve"> OpenAI Codex CLI, IDE, Desktop App • Google Antigravity • Claude Code • Cursor • Large Language Models • Transformer Architectures • Retrieval-Augmented Generation • Agentic AI Workflows • Multi-Agent Systems • Tool Calling • LoRA • Unsloth • Qdrant Vector Search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Agentic Harness Engineering &amp; Governance:</w:t>
      </w:r>
      <w:r>
        <w:rPr>
          <w:color w:val="1F1F1F"/>
          <w:sz w:val="18"/>
        </w:rPr>
        <w:t xml:space="preserve"> 4-Layer Harness Architecture • LangGraph StateGraph FSM and HSM • Multi-Agent Topologies — Hierarchical Supervisor, Peer-to-Peer, Blackboard, Swarm • Loop Engineering &amp; Termination Conditions • 3-Rung Escalation Ladders • Trajectory Observability via OpenTelemetry, Langfuse, LangSmith • Bounded Execution Guardrails • NIST AI RMF 1.0 • ISO 42001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Agent Security &amp; Structured Output:</w:t>
      </w:r>
      <w:r>
        <w:rPr>
          <w:color w:val="1F1F1F"/>
          <w:sz w:val="18"/>
        </w:rPr>
        <w:t xml:space="preserve"> OWASP Top 15 Agent Vulnerabilities • Principle of Least Privilege PoLP &amp; Agent Authorization • Docker &amp; E2B Sandboxing • Zero-Trust UI Firewall Architecture • 3-Tier Fallback Validation — Strict JSON Schema, Instructor Pydantic, Canonicalization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Model Context Protocol &amp; Enterprise Tooling:</w:t>
      </w:r>
      <w:r>
        <w:rPr>
          <w:color w:val="1F1F1F"/>
          <w:sz w:val="18"/>
        </w:rPr>
        <w:t xml:space="preserve"> MCP Server Architecture • Custom Tool Calling • Tool Schema Definition • Figma MCP • GitHub Plugin • Atlassian Plugin • Google Workspace Plugins • Context Engineering with AGENTS.md • Reusable Skill Repositories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Software Engineering &amp; Analytical Workflows:</w:t>
      </w:r>
      <w:r>
        <w:rPr>
          <w:color w:val="1F1F1F"/>
          <w:sz w:val="18"/>
        </w:rPr>
        <w:t xml:space="preserve"> Python • pandas &amp; NumPy • FastAPI • Pydantic • SQLAlchemy • RESTful API Contracts • JSON Schema • pytest • GitHub • Cloud Deployment on Google Cloud Run and Vercel</w:t>
      </w:r>
    </w:p>
    <w:p>
      <w:pPr>
        <w:spacing w:before="0" w:after="20" w:line="240" w:lineRule="auto"/>
        <w:ind w:left="360" w:hanging="180"/>
      </w:pPr>
      <w:r>
        <w:rPr>
          <w:color w:val="1F1F1F"/>
          <w:sz w:val="20"/>
        </w:rPr>
        <w:t xml:space="preserve">• </w:t>
      </w:r>
      <w:r>
        <w:rPr>
          <w:b/>
          <w:color w:val="1F1F1F"/>
          <w:sz w:val="18"/>
        </w:rPr>
        <w:t xml:space="preserve">AI Enablement, Adoption &amp; Measurement:</w:t>
      </w:r>
      <w:r>
        <w:rPr>
          <w:color w:val="1F1F1F"/>
          <w:sz w:val="18"/>
        </w:rPr>
        <w:t xml:space="preserve"> Developer Relations • Technical Office Hours • Prompt Engineering Frameworks • Cohort Training &amp; User Enablement • Adoption Tracking &amp; Metrics • Golden-Set Evaluations • Cross-Functional Technical Advocacy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github.com/EbeDenver" TargetMode="External"/>
  <Relationship Id="rIdHyperlink3" Type="http://schemas.openxmlformats.org/officeDocument/2006/relationships/hyperlink" Target="https://portal.aiguardiansllc.us/" TargetMode="External"/>
</Relationships>
</file>