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7365D"/>
          <w:sz w:val="30"/>
        </w:rPr>
        <w:t>BSI INTERVIEW PREPARATION PACKAGE</w:t>
      </w:r>
    </w:p>
    <w:p>
      <w:pPr>
        <w:spacing w:before="0" w:after="200"/>
      </w:pPr>
      <w:r>
        <w:rPr>
          <w:rFonts w:ascii="Calibri" w:hAnsi="Calibri"/>
          <w:color w:val="5A6978"/>
          <w:sz w:val="19"/>
        </w:rPr>
        <w:t>AI Technical Specialist • Requisition JR0020733-1 • Candidate: Ebenezer J. Rolston</w:t>
      </w:r>
    </w:p>
    <w:p>
      <w:pPr>
        <w:spacing w:before="0" w:after="80"/>
      </w:pPr>
      <w:r>
        <w:rPr>
          <w:rFonts w:ascii="Calibri" w:hAnsi="Calibri"/>
          <w:color w:val="28323C"/>
          <w:sz w:val="19"/>
        </w:rPr>
      </w:r>
      <w:r>
        <w:rPr>
          <w:rFonts w:ascii="Calibri" w:hAnsi="Calibri"/>
          <w:b/>
          <w:color w:val="28323C"/>
          <w:sz w:val="19"/>
        </w:rPr>
        <w:t>AI Technical Specialist | Artificial Intelligence Notified Body | Requisition JR0020733-1</w:t>
      </w:r>
      <w:r>
        <w:rPr>
          <w:rFonts w:ascii="Calibri" w:hAnsi="Calibri"/>
          <w:color w:val="28323C"/>
          <w:sz w:val="19"/>
        </w:rPr>
        <w:t xml:space="preserve">  </w:t>
      </w:r>
    </w:p>
    <w:p>
      <w:pPr>
        <w:spacing w:before="0" w:after="80"/>
      </w:pPr>
      <w:r>
        <w:rPr>
          <w:rFonts w:ascii="Calibri" w:hAnsi="Calibri"/>
          <w:color w:val="28323C"/>
          <w:sz w:val="19"/>
        </w:rPr>
        <w:t>Candidate: Ebenezer J. Rolston (Denver, CO) • Prepared for BSI Conformity Assessment Leadership &amp; Technical Interview Panel</w:t>
      </w:r>
    </w:p>
    <w:p>
      <w:pPr>
        <w:spacing w:before="200" w:after="80"/>
      </w:pPr>
      <w:r>
        <w:rPr>
          <w:rFonts w:ascii="Calibri" w:hAnsi="Calibri"/>
          <w:b/>
          <w:color w:val="17365D"/>
          <w:sz w:val="23"/>
        </w:rPr>
        <w:t>1. BSI &amp; AI Notified Body Strategic Context</w:t>
      </w:r>
    </w:p>
    <w:p>
      <w:pPr>
        <w:spacing w:before="0" w:after="80"/>
      </w:pPr>
      <w:r>
        <w:rPr>
          <w:rFonts w:ascii="Calibri" w:hAnsi="Calibri"/>
          <w:color w:val="28323C"/>
          <w:sz w:val="19"/>
        </w:rPr>
        <w:t xml:space="preserve">The British Standards Institution (BSI) was incorporated by Royal Charter and is the world's first national standards organization. As an accredited Notified Body in Europe (BSI Group The Netherlands B.V., NB 2797), BSI is positioned at the forefront of global AI regulation. Under the </w:t>
      </w:r>
      <w:r>
        <w:rPr>
          <w:rFonts w:ascii="Calibri" w:hAnsi="Calibri"/>
          <w:b/>
          <w:color w:val="28323C"/>
          <w:sz w:val="19"/>
        </w:rPr>
        <w:t>EU AI Act</w:t>
      </w:r>
      <w:r>
        <w:rPr>
          <w:rFonts w:ascii="Calibri" w:hAnsi="Calibri"/>
          <w:color w:val="28323C"/>
          <w:sz w:val="19"/>
        </w:rPr>
        <w:t xml:space="preserve">, providers of High-Risk AI systems (e.g. AI-enabled medical devices, critical infrastructure, biometrics) must undergo rigorous </w:t>
      </w:r>
      <w:r>
        <w:rPr>
          <w:rFonts w:ascii="Calibri" w:hAnsi="Calibri"/>
          <w:b/>
          <w:color w:val="28323C"/>
          <w:sz w:val="19"/>
        </w:rPr>
        <w:t>Conformity Assessments</w:t>
      </w:r>
      <w:r>
        <w:rPr>
          <w:rFonts w:ascii="Calibri" w:hAnsi="Calibri"/>
          <w:color w:val="28323C"/>
          <w:sz w:val="19"/>
        </w:rPr>
        <w:t xml:space="preserve"> before placing systems on the EU market and bearing the CE mark.</w:t>
      </w:r>
    </w:p>
    <w:p>
      <w:pPr>
        <w:spacing w:before="120" w:after="40"/>
      </w:pPr>
      <w:r>
        <w:rPr>
          <w:rFonts w:ascii="Calibri" w:hAnsi="Calibri"/>
          <w:b/>
          <w:color w:val="28466E"/>
          <w:sz w:val="21"/>
        </w:rPr>
        <w:t>Key Dimensions of the AI Technical Specialist Role:</w:t>
      </w:r>
    </w:p>
    <w:p>
      <w:pPr>
        <w:pStyle w:val="ListBullet"/>
        <w:spacing w:before="0" w:after="40"/>
      </w:pPr>
      <w:r>
        <w:rPr>
          <w:rFonts w:ascii="Calibri" w:hAnsi="Calibri"/>
          <w:color w:val="28323C"/>
          <w:sz w:val="19"/>
        </w:rPr>
      </w:r>
      <w:r>
        <w:rPr>
          <w:rFonts w:ascii="Calibri" w:hAnsi="Calibri"/>
          <w:b/>
          <w:color w:val="28323C"/>
          <w:sz w:val="19"/>
        </w:rPr>
        <w:t>Technical Documentation Assessment:</w:t>
      </w:r>
      <w:r>
        <w:rPr>
          <w:rFonts w:ascii="Calibri" w:hAnsi="Calibri"/>
          <w:color w:val="28323C"/>
          <w:sz w:val="19"/>
        </w:rPr>
        <w:t xml:space="preserve"> Scrutinizing the manufacturer's technical dossier—including training data provenance, data labeling protocols, model architecture, validation methodologies, test metrics, and cybersecurity safeguards—against harmonized standards (e.g., ISO/IEC 42001, ISO/IEC 23894, ISO/IEC 22989).</w:t>
      </w:r>
    </w:p>
    <w:p>
      <w:pPr>
        <w:pStyle w:val="ListBullet"/>
        <w:spacing w:before="0" w:after="40"/>
      </w:pPr>
      <w:r>
        <w:rPr>
          <w:rFonts w:ascii="Calibri" w:hAnsi="Calibri"/>
          <w:color w:val="28323C"/>
          <w:sz w:val="19"/>
        </w:rPr>
      </w:r>
      <w:r>
        <w:rPr>
          <w:rFonts w:ascii="Calibri" w:hAnsi="Calibri"/>
          <w:b/>
          <w:color w:val="28323C"/>
          <w:sz w:val="19"/>
        </w:rPr>
        <w:t>Evaluating Model Robustness &amp; Generalizability:</w:t>
      </w:r>
      <w:r>
        <w:rPr>
          <w:rFonts w:ascii="Calibri" w:hAnsi="Calibri"/>
          <w:color w:val="28323C"/>
          <w:sz w:val="19"/>
        </w:rPr>
        <w:t xml:space="preserve"> Interrogating whether the model has been adequately tested against distribution shifts, adversarial attacks, edge-case failure modes, and demographic bias.</w:t>
      </w:r>
    </w:p>
    <w:p>
      <w:pPr>
        <w:pStyle w:val="ListBullet"/>
        <w:spacing w:before="0" w:after="40"/>
      </w:pPr>
      <w:r>
        <w:rPr>
          <w:rFonts w:ascii="Calibri" w:hAnsi="Calibri"/>
          <w:color w:val="28323C"/>
          <w:sz w:val="19"/>
        </w:rPr>
      </w:r>
      <w:r>
        <w:rPr>
          <w:rFonts w:ascii="Calibri" w:hAnsi="Calibri"/>
          <w:b/>
          <w:color w:val="28323C"/>
          <w:sz w:val="19"/>
        </w:rPr>
        <w:t>Auditing the AI Quality Management System (QMS):</w:t>
      </w:r>
      <w:r>
        <w:rPr>
          <w:rFonts w:ascii="Calibri" w:hAnsi="Calibri"/>
          <w:color w:val="28323C"/>
          <w:sz w:val="19"/>
        </w:rPr>
        <w:t xml:space="preserve"> Ensuring the developer maintains continuous risk management, post-market monitoring, incident reporting, and change management procedures throughout the AI lifecycle.</w:t>
      </w:r>
    </w:p>
    <w:p>
      <w:pPr>
        <w:pStyle w:val="ListBullet"/>
        <w:spacing w:before="0" w:after="40"/>
      </w:pPr>
      <w:r>
        <w:rPr>
          <w:rFonts w:ascii="Calibri" w:hAnsi="Calibri"/>
          <w:color w:val="28323C"/>
          <w:sz w:val="19"/>
        </w:rPr>
      </w:r>
      <w:r>
        <w:rPr>
          <w:rFonts w:ascii="Calibri" w:hAnsi="Calibri"/>
          <w:b/>
          <w:color w:val="28323C"/>
          <w:sz w:val="19"/>
        </w:rPr>
        <w:t>Client Technical Engagement &amp; Advisory:</w:t>
      </w:r>
      <w:r>
        <w:rPr>
          <w:rFonts w:ascii="Calibri" w:hAnsi="Calibri"/>
          <w:color w:val="28323C"/>
          <w:sz w:val="19"/>
        </w:rPr>
        <w:t xml:space="preserve"> Engaging with client engineering and regulatory affairs teams in technical meetings, communicating non-conformities with precision, and guiding them on certification expectations.</w:t>
      </w:r>
    </w:p>
    <w:p>
      <w:pPr>
        <w:spacing w:before="200" w:after="80"/>
      </w:pPr>
      <w:r>
        <w:rPr>
          <w:rFonts w:ascii="Calibri" w:hAnsi="Calibri"/>
          <w:b/>
          <w:color w:val="17365D"/>
          <w:sz w:val="23"/>
        </w:rPr>
        <w:t>2. 30-60-90 Day Strategic Onboarding Charter</w:t>
      </w:r>
    </w:p>
    <w:p>
      <w:pPr>
        <w:spacing w:before="120" w:after="40"/>
      </w:pPr>
      <w:r>
        <w:rPr>
          <w:rFonts w:ascii="Calibri" w:hAnsi="Calibri"/>
          <w:b/>
          <w:color w:val="28466E"/>
          <w:sz w:val="21"/>
        </w:rPr>
        <w:t>Days 1–30: Master BSI Assessment Procedures &amp; Notified Body Protocols</w:t>
      </w:r>
    </w:p>
    <w:p>
      <w:pPr>
        <w:pStyle w:val="ListBullet"/>
        <w:spacing w:before="0" w:after="40"/>
      </w:pPr>
      <w:r>
        <w:rPr>
          <w:rFonts w:ascii="Calibri" w:hAnsi="Calibri"/>
          <w:color w:val="28323C"/>
          <w:sz w:val="19"/>
        </w:rPr>
      </w:r>
      <w:r>
        <w:rPr>
          <w:rFonts w:ascii="Calibri" w:hAnsi="Calibri"/>
          <w:b/>
          <w:color w:val="28323C"/>
          <w:sz w:val="19"/>
        </w:rPr>
        <w:t>Internalize BSI AI SOPs:</w:t>
      </w:r>
      <w:r>
        <w:rPr>
          <w:rFonts w:ascii="Calibri" w:hAnsi="Calibri"/>
          <w:color w:val="28323C"/>
          <w:sz w:val="19"/>
        </w:rPr>
        <w:t xml:space="preserve"> Review BSI’s accredited conformity assessment workflows, technical documentation review checklists, and CE-marking reporting templates.</w:t>
      </w:r>
    </w:p>
    <w:p>
      <w:pPr>
        <w:pStyle w:val="ListBullet"/>
        <w:spacing w:before="0" w:after="40"/>
      </w:pPr>
      <w:r>
        <w:rPr>
          <w:rFonts w:ascii="Calibri" w:hAnsi="Calibri"/>
          <w:color w:val="28323C"/>
          <w:sz w:val="19"/>
        </w:rPr>
      </w:r>
      <w:r>
        <w:rPr>
          <w:rFonts w:ascii="Calibri" w:hAnsi="Calibri"/>
          <w:b/>
          <w:color w:val="28323C"/>
          <w:sz w:val="19"/>
        </w:rPr>
        <w:t>Deep-Dive Regulatory Harmonization:</w:t>
      </w:r>
      <w:r>
        <w:rPr>
          <w:rFonts w:ascii="Calibri" w:hAnsi="Calibri"/>
          <w:color w:val="28323C"/>
          <w:sz w:val="19"/>
        </w:rPr>
        <w:t xml:space="preserve"> Map EU AI Act Article 9 (Risk Management System), Article 10 (Data and Data Governance), Article 11 (Technical Documentation), and Article 14 (Human Oversight) to BSI assessment tools.</w:t>
      </w:r>
    </w:p>
    <w:p>
      <w:pPr>
        <w:pStyle w:val="ListBullet"/>
        <w:spacing w:before="0" w:after="40"/>
      </w:pPr>
      <w:r>
        <w:rPr>
          <w:rFonts w:ascii="Calibri" w:hAnsi="Calibri"/>
          <w:color w:val="28323C"/>
          <w:sz w:val="19"/>
        </w:rPr>
      </w:r>
      <w:r>
        <w:rPr>
          <w:rFonts w:ascii="Calibri" w:hAnsi="Calibri"/>
          <w:b/>
          <w:color w:val="28323C"/>
          <w:sz w:val="19"/>
        </w:rPr>
        <w:t>Shadow Senior Assessors:</w:t>
      </w:r>
      <w:r>
        <w:rPr>
          <w:rFonts w:ascii="Calibri" w:hAnsi="Calibri"/>
          <w:color w:val="28323C"/>
          <w:sz w:val="19"/>
        </w:rPr>
        <w:t xml:space="preserve"> Shadow active conformity assessment reviews across medical device AI software and enterprise AI applications to observe interview and auditing techniques.</w:t>
      </w:r>
    </w:p>
    <w:p>
      <w:pPr>
        <w:pStyle w:val="ListBullet"/>
        <w:spacing w:before="0" w:after="40"/>
      </w:pPr>
      <w:r>
        <w:rPr>
          <w:rFonts w:ascii="Calibri" w:hAnsi="Calibri"/>
          <w:color w:val="28323C"/>
          <w:sz w:val="19"/>
        </w:rPr>
      </w:r>
      <w:r>
        <w:rPr>
          <w:rFonts w:ascii="Calibri" w:hAnsi="Calibri"/>
          <w:b/>
          <w:color w:val="28323C"/>
          <w:sz w:val="19"/>
        </w:rPr>
        <w:t>Audit Tooling Setup:</w:t>
      </w:r>
      <w:r>
        <w:rPr>
          <w:rFonts w:ascii="Calibri" w:hAnsi="Calibri"/>
          <w:color w:val="28323C"/>
          <w:sz w:val="19"/>
        </w:rPr>
        <w:t xml:space="preserve"> Familiarize with BSI internal platforms, documentation repositories, and collaborative assessment tracking tools.</w:t>
      </w:r>
    </w:p>
    <w:p>
      <w:pPr>
        <w:spacing w:before="120" w:after="40"/>
      </w:pPr>
      <w:r>
        <w:rPr>
          <w:rFonts w:ascii="Calibri" w:hAnsi="Calibri"/>
          <w:b/>
          <w:color w:val="28466E"/>
          <w:sz w:val="21"/>
        </w:rPr>
        <w:t>Days 31–60: Conduct Co-Assessments &amp; Interrogate Technical Dossiers</w:t>
      </w:r>
    </w:p>
    <w:p>
      <w:pPr>
        <w:pStyle w:val="ListBullet"/>
        <w:spacing w:before="0" w:after="40"/>
      </w:pPr>
      <w:r>
        <w:rPr>
          <w:rFonts w:ascii="Calibri" w:hAnsi="Calibri"/>
          <w:color w:val="28323C"/>
          <w:sz w:val="19"/>
        </w:rPr>
      </w:r>
      <w:r>
        <w:rPr>
          <w:rFonts w:ascii="Calibri" w:hAnsi="Calibri"/>
          <w:b/>
          <w:color w:val="28323C"/>
          <w:sz w:val="19"/>
        </w:rPr>
        <w:t>Lead Technical Documentation Reviews:</w:t>
      </w:r>
      <w:r>
        <w:rPr>
          <w:rFonts w:ascii="Calibri" w:hAnsi="Calibri"/>
          <w:color w:val="28323C"/>
          <w:sz w:val="19"/>
        </w:rPr>
        <w:t xml:space="preserve"> Under mentor supervision, independently review manufacturers' technical files, verifying algorithmic choices, validation metrics (ROC-AUC, F1, calibration curves), and test data segregation.</w:t>
      </w:r>
    </w:p>
    <w:p>
      <w:pPr>
        <w:pStyle w:val="ListBullet"/>
        <w:spacing w:before="0" w:after="40"/>
      </w:pPr>
      <w:r>
        <w:rPr>
          <w:rFonts w:ascii="Calibri" w:hAnsi="Calibri"/>
          <w:color w:val="28323C"/>
          <w:sz w:val="19"/>
        </w:rPr>
      </w:r>
      <w:r>
        <w:rPr>
          <w:rFonts w:ascii="Calibri" w:hAnsi="Calibri"/>
          <w:b/>
          <w:color w:val="28323C"/>
          <w:sz w:val="19"/>
        </w:rPr>
        <w:t>Participate in Client Conformity Meetings:</w:t>
      </w:r>
      <w:r>
        <w:rPr>
          <w:rFonts w:ascii="Calibri" w:hAnsi="Calibri"/>
          <w:color w:val="28323C"/>
          <w:sz w:val="19"/>
        </w:rPr>
        <w:t xml:space="preserve"> Attend technical discovery sessions with manufacturers, formulating targeted questions regarding data preprocessing, validation splits, and model drift mitigation.</w:t>
      </w:r>
    </w:p>
    <w:p>
      <w:pPr>
        <w:pStyle w:val="ListBullet"/>
        <w:spacing w:before="0" w:after="40"/>
      </w:pPr>
      <w:r>
        <w:rPr>
          <w:rFonts w:ascii="Calibri" w:hAnsi="Calibri"/>
          <w:color w:val="28323C"/>
          <w:sz w:val="19"/>
        </w:rPr>
      </w:r>
      <w:r>
        <w:rPr>
          <w:rFonts w:ascii="Calibri" w:hAnsi="Calibri"/>
          <w:b/>
          <w:color w:val="28323C"/>
          <w:sz w:val="19"/>
        </w:rPr>
        <w:t>Draft Formal Technical Assessment Reports:</w:t>
      </w:r>
      <w:r>
        <w:rPr>
          <w:rFonts w:ascii="Calibri" w:hAnsi="Calibri"/>
          <w:color w:val="28323C"/>
          <w:sz w:val="19"/>
        </w:rPr>
        <w:t xml:space="preserve"> Author clear, defensible review reports detailing compliance findings, observations, and structured requests for additional information (RFIs).</w:t>
      </w:r>
    </w:p>
    <w:p>
      <w:pPr>
        <w:pStyle w:val="ListBullet"/>
        <w:spacing w:before="0" w:after="40"/>
      </w:pPr>
      <w:r>
        <w:rPr>
          <w:rFonts w:ascii="Calibri" w:hAnsi="Calibri"/>
          <w:color w:val="28323C"/>
          <w:sz w:val="19"/>
        </w:rPr>
      </w:r>
      <w:r>
        <w:rPr>
          <w:rFonts w:ascii="Calibri" w:hAnsi="Calibri"/>
          <w:b/>
          <w:color w:val="28323C"/>
          <w:sz w:val="19"/>
        </w:rPr>
        <w:t>Contribute to Internal Tooling:</w:t>
      </w:r>
      <w:r>
        <w:rPr>
          <w:rFonts w:ascii="Calibri" w:hAnsi="Calibri"/>
          <w:color w:val="28323C"/>
          <w:sz w:val="19"/>
        </w:rPr>
        <w:t xml:space="preserve"> Collaborate on developing or validating internal AI testing tools used to evaluate client model submissions.</w:t>
      </w:r>
    </w:p>
    <w:p>
      <w:pPr>
        <w:spacing w:before="120" w:after="40"/>
      </w:pPr>
      <w:r>
        <w:rPr>
          <w:rFonts w:ascii="Calibri" w:hAnsi="Calibri"/>
          <w:b/>
          <w:color w:val="28466E"/>
          <w:sz w:val="21"/>
        </w:rPr>
        <w:t>Days 61–90: Full Assessment Ownership &amp; Team Mentorship</w:t>
      </w:r>
    </w:p>
    <w:p>
      <w:pPr>
        <w:pStyle w:val="ListBullet"/>
        <w:spacing w:before="0" w:after="40"/>
      </w:pPr>
      <w:r>
        <w:rPr>
          <w:rFonts w:ascii="Calibri" w:hAnsi="Calibri"/>
          <w:color w:val="28323C"/>
          <w:sz w:val="19"/>
        </w:rPr>
      </w:r>
      <w:r>
        <w:rPr>
          <w:rFonts w:ascii="Calibri" w:hAnsi="Calibri"/>
          <w:b/>
          <w:color w:val="28323C"/>
          <w:sz w:val="19"/>
        </w:rPr>
        <w:t>Independent Conformity Assessment Sign-Off:</w:t>
      </w:r>
      <w:r>
        <w:rPr>
          <w:rFonts w:ascii="Calibri" w:hAnsi="Calibri"/>
          <w:color w:val="28323C"/>
          <w:sz w:val="19"/>
        </w:rPr>
        <w:t xml:space="preserve"> Execute end-to-end technical documentation reviews for assigned AI systems, issuing formal assessment recommendations for CE marking.</w:t>
      </w:r>
    </w:p>
    <w:p>
      <w:pPr>
        <w:pStyle w:val="ListBullet"/>
        <w:spacing w:before="0" w:after="40"/>
      </w:pPr>
      <w:r>
        <w:rPr>
          <w:rFonts w:ascii="Calibri" w:hAnsi="Calibri"/>
          <w:color w:val="28323C"/>
          <w:sz w:val="19"/>
        </w:rPr>
      </w:r>
      <w:r>
        <w:rPr>
          <w:rFonts w:ascii="Calibri" w:hAnsi="Calibri"/>
          <w:b/>
          <w:color w:val="28323C"/>
          <w:sz w:val="19"/>
        </w:rPr>
        <w:t>Develop Specialized Assessment Guidance:</w:t>
      </w:r>
      <w:r>
        <w:rPr>
          <w:rFonts w:ascii="Calibri" w:hAnsi="Calibri"/>
          <w:color w:val="28323C"/>
          <w:sz w:val="19"/>
        </w:rPr>
        <w:t xml:space="preserve"> Author technical guidance or training modules for BSI colleagues on evaluating modern generative AI, LLM fine-tuning, and multimodal model risks (leveraging Stanford TECH 77 and Harvard agentic insights).</w:t>
      </w:r>
    </w:p>
    <w:p>
      <w:pPr>
        <w:pStyle w:val="ListBullet"/>
        <w:spacing w:before="0" w:after="40"/>
      </w:pPr>
      <w:r>
        <w:rPr>
          <w:rFonts w:ascii="Calibri" w:hAnsi="Calibri"/>
          <w:color w:val="28323C"/>
          <w:sz w:val="19"/>
        </w:rPr>
      </w:r>
      <w:r>
        <w:rPr>
          <w:rFonts w:ascii="Calibri" w:hAnsi="Calibri"/>
          <w:b/>
          <w:color w:val="28323C"/>
          <w:sz w:val="19"/>
        </w:rPr>
        <w:t>Drive Continuous Improvement:</w:t>
      </w:r>
      <w:r>
        <w:rPr>
          <w:rFonts w:ascii="Calibri" w:hAnsi="Calibri"/>
          <w:color w:val="28323C"/>
          <w:sz w:val="19"/>
        </w:rPr>
        <w:t xml:space="preserve"> Identify optimization opportunities in BSI’s technical review workflows, reducing review cycle times while maintaining uncompromised auditing rigor.</w:t>
      </w:r>
    </w:p>
    <w:p>
      <w:pPr>
        <w:spacing w:before="200" w:after="80"/>
      </w:pPr>
      <w:r>
        <w:rPr>
          <w:rFonts w:ascii="Calibri" w:hAnsi="Calibri"/>
          <w:b/>
          <w:color w:val="17365D"/>
          <w:sz w:val="23"/>
        </w:rPr>
        <w:t>3. High-Probability Technical &amp; Behavioral Scenarios (STAR Format)</w:t>
      </w:r>
    </w:p>
    <w:p>
      <w:pPr>
        <w:spacing w:before="120" w:after="40"/>
      </w:pPr>
      <w:r>
        <w:rPr>
          <w:rFonts w:ascii="Calibri" w:hAnsi="Calibri"/>
          <w:b/>
          <w:color w:val="28466E"/>
          <w:sz w:val="21"/>
        </w:rPr>
        <w:t>Scenario 1: Evaluating Technical Documentation for Model Robustness and Data Governance</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 manufacturer submits an AI diagnostic model claiming 98% accuracy. As an AI Technical Specialist, you must evaluate the validity of their technical file under conformity assessment requirements.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my AI evaluation work and academic projects (UC Berkeley ML with Spark and Stanford TECH 77), I have frequently encountered models that perform exceptionally well in laboratory benchmarks but fail under real-world data shifts.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Establish an evidence-based audit protocol to verify whether a model's reported accuracy reflects genuine generalization or subtle data leakage.</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scrutinize the training, validation, and test dataset splits to verify strict temporal or patient/subject isolation, ensuring zero feature contamination. I inspect the data provenance, labeling protocols, and demographic stratification. I require the manufacturer to provide confusion matrices, subgroup performance metrics, calibration curves, and error surface analysis under noise and adversarial perturbations.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Successfully detects hidden overfitting and dataset bias before certification, protecting end users and upholding the integrity of the CE mark.</w:t>
      </w:r>
    </w:p>
    <w:p>
      <w:pPr>
        <w:spacing w:before="120" w:after="40"/>
      </w:pPr>
      <w:r>
        <w:rPr>
          <w:rFonts w:ascii="Calibri" w:hAnsi="Calibri"/>
          <w:b/>
          <w:color w:val="28466E"/>
          <w:sz w:val="21"/>
        </w:rPr>
        <w:t>Scenario 2: Interrogating Distributed ML Pipelines (UC Berkeley ML with Spark)</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An enterprise submits an AI system leveraging large-scale distributed data processing and neural networks. BSI requires deep technical fluency in distributed ML architectures.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During my UC Berkeley coursework (COMPSCI X433.7 - Grade A), I developed distributed ML pipelines using PySpark and Spark MLlib, evaluating how parallelized training and distributed feature extraction impact model convergence.</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Assess whether a distributed ML pipeline maintains numerical stability, reproducibility, and deterministic data handling during scale-out training.</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inspect the data partitioning strategies, feature transformation pipelines, and gradient aggregation mechanisms. I verify that random seeds are fixed and that distributed join operations do not introduce non-deterministic ordering or duplicate records. I review hyperparameter optimization logs (grid search / Bayesian optimization) to verify that cross-validation was performed correctly across Spark worker nodes without test-set leakage.</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Demonstrates deep peer-level engineering credibility, validating that complex distributed ML systems satisfy conformity assessment standards for reproducibility and auditability.</w:t>
      </w:r>
    </w:p>
    <w:p>
      <w:pPr>
        <w:spacing w:before="120" w:after="40"/>
      </w:pPr>
      <w:r>
        <w:rPr>
          <w:rFonts w:ascii="Calibri" w:hAnsi="Calibri"/>
          <w:b/>
          <w:color w:val="28466E"/>
          <w:sz w:val="21"/>
        </w:rPr>
        <w:t>Scenario 3: Auditing LLM &amp; Multimodal Systems for Hallucination and Prompt Injection (Stanford TECH 77)</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BSI is assessing generative AI and multimodal applications where stochastic behavior poses regulatory risks under EU AI Act transparency and risk management mandates.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In my Stanford TECH 77 project, I built and evaluated an auditable document intelligence pipeline benchmarking Vision Language Models (VLMs) and Document Transformers against OCR baselines.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Design verification criteria to ensure generative models operating in regulated domains do not hallucinate critical outputs or fall prey to prompt injection attacks.</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evaluated failure modes where VLMs hallucinatory tokens on complex table structures. To mitigate this, I implemented LangGraph StateGraph deterministic routing, strict Pydantic JSON schema enforcement, and confidence-score anomaly gating that triggered human-in-the-loop review. I also introduced adversarial input filters to catch indirect prompt injection.</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Established a concrete, auditable framework for certifying that generative AI systems have adequate deterministic boundaries, output verification gates, and human oversight mechanisms as mandated by Article 14 of the EU AI Act.</w:t>
      </w:r>
    </w:p>
    <w:p>
      <w:pPr>
        <w:spacing w:before="120" w:after="40"/>
      </w:pPr>
      <w:r>
        <w:rPr>
          <w:rFonts w:ascii="Calibri" w:hAnsi="Calibri"/>
          <w:b/>
          <w:color w:val="28466E"/>
          <w:sz w:val="21"/>
        </w:rPr>
        <w:t>Scenario 4: Communicating Non-Conformities to Client Leadership Without Creating Impasse</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During an audit, an AI developer pushes back strongly against a finding of non-conformity regarding inadequate data governance or lack of post-market drift monitoring.</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As a Senior Escalation Lead at DOI/IBC for 14 years, I regularly navigated high-stakes technical disagreements with senior government stakeholders and vendor software engineering leads.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Maintain uncompromised compliance standards while preserving a constructive, professional partnership with the client.</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anchor the discussion strictly in objective, published standard clauses (e.g., ISO/IEC 42001 Section 8 or EU AI Act Article 10). Rather than criticizing the design, I present empirical evidence of the risk—such as lack of performance monitoring under out-of-distribution inputs. I clearly explain the regulatory rationale and outline acceptable remediation pathways (e.g., establishing automated drift alerts and retraining triggers).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Defused client defensiveness, achieved full agreement on corrective actions, and ensured the system met all regulatory criteria prior to formal sign-off.</w:t>
      </w:r>
    </w:p>
    <w:p>
      <w:pPr>
        <w:spacing w:before="120" w:after="40"/>
      </w:pPr>
      <w:r>
        <w:rPr>
          <w:rFonts w:ascii="Calibri" w:hAnsi="Calibri"/>
          <w:b/>
          <w:color w:val="28466E"/>
          <w:sz w:val="21"/>
        </w:rPr>
        <w:t>Scenario 5: Reviewing Software Development Lifecycles (SDLC) and Change Management</w:t>
      </w:r>
    </w:p>
    <w:p>
      <w:pPr>
        <w:pStyle w:val="ListBullet"/>
        <w:spacing w:before="0" w:after="40"/>
      </w:pPr>
      <w:r>
        <w:rPr>
          <w:rFonts w:ascii="Calibri" w:hAnsi="Calibri"/>
          <w:color w:val="28323C"/>
          <w:sz w:val="19"/>
        </w:rPr>
      </w:r>
      <w:r>
        <w:rPr>
          <w:rFonts w:ascii="Calibri" w:hAnsi="Calibri"/>
          <w:b/>
          <w:color w:val="28323C"/>
          <w:sz w:val="19"/>
        </w:rPr>
        <w:t>Context:</w:t>
      </w:r>
      <w:r>
        <w:rPr>
          <w:rFonts w:ascii="Calibri" w:hAnsi="Calibri"/>
          <w:color w:val="28323C"/>
          <w:sz w:val="19"/>
        </w:rPr>
        <w:t xml:space="preserve"> AI systems are dynamic; continuous model updates and retrained weights can invalidate previous conformity assessments.</w:t>
      </w:r>
    </w:p>
    <w:p>
      <w:pPr>
        <w:pStyle w:val="ListBullet"/>
        <w:spacing w:before="0" w:after="40"/>
      </w:pPr>
      <w:r>
        <w:rPr>
          <w:rFonts w:ascii="Calibri" w:hAnsi="Calibri"/>
          <w:color w:val="28323C"/>
          <w:sz w:val="19"/>
        </w:rPr>
      </w:r>
      <w:r>
        <w:rPr>
          <w:rFonts w:ascii="Calibri" w:hAnsi="Calibri"/>
          <w:b/>
          <w:color w:val="28323C"/>
          <w:sz w:val="19"/>
        </w:rPr>
        <w:t>Situation:</w:t>
      </w:r>
      <w:r>
        <w:rPr>
          <w:rFonts w:ascii="Calibri" w:hAnsi="Calibri"/>
          <w:color w:val="28323C"/>
          <w:sz w:val="19"/>
        </w:rPr>
        <w:t xml:space="preserve"> Manufacturers often push continuous integration updates to AI models without evaluating whether the change constitutes a "substantial modification" under regulatory frameworks.</w:t>
      </w:r>
    </w:p>
    <w:p>
      <w:pPr>
        <w:pStyle w:val="ListBullet"/>
        <w:spacing w:before="0" w:after="40"/>
      </w:pPr>
      <w:r>
        <w:rPr>
          <w:rFonts w:ascii="Calibri" w:hAnsi="Calibri"/>
          <w:color w:val="28323C"/>
          <w:sz w:val="19"/>
        </w:rPr>
      </w:r>
      <w:r>
        <w:rPr>
          <w:rFonts w:ascii="Calibri" w:hAnsi="Calibri"/>
          <w:b/>
          <w:color w:val="28323C"/>
          <w:sz w:val="19"/>
        </w:rPr>
        <w:t>Task:</w:t>
      </w:r>
      <w:r>
        <w:rPr>
          <w:rFonts w:ascii="Calibri" w:hAnsi="Calibri"/>
          <w:color w:val="28323C"/>
          <w:sz w:val="19"/>
        </w:rPr>
        <w:t xml:space="preserve"> Evaluate the manufacturer's change management procedure and SDLC controls to ensure post-certification updates remain compliant.</w:t>
      </w:r>
    </w:p>
    <w:p>
      <w:pPr>
        <w:pStyle w:val="ListBullet"/>
        <w:spacing w:before="0" w:after="40"/>
      </w:pPr>
      <w:r>
        <w:rPr>
          <w:rFonts w:ascii="Calibri" w:hAnsi="Calibri"/>
          <w:color w:val="28323C"/>
          <w:sz w:val="19"/>
        </w:rPr>
      </w:r>
      <w:r>
        <w:rPr>
          <w:rFonts w:ascii="Calibri" w:hAnsi="Calibri"/>
          <w:b/>
          <w:color w:val="28323C"/>
          <w:sz w:val="19"/>
        </w:rPr>
        <w:t>Action:</w:t>
      </w:r>
      <w:r>
        <w:rPr>
          <w:rFonts w:ascii="Calibri" w:hAnsi="Calibri"/>
          <w:color w:val="28323C"/>
          <w:sz w:val="19"/>
        </w:rPr>
        <w:t xml:space="preserve"> I audit their version control, model registry, and CI/CD pipelines. I verify that automated regression test suites run on every commit and that significant updates—such as retraining on new demographic distributions or changing model architectures—trigger formal impact assessments and re-notification protocols.</w:t>
      </w:r>
    </w:p>
    <w:p>
      <w:pPr>
        <w:pStyle w:val="ListBullet"/>
        <w:spacing w:before="0" w:after="40"/>
      </w:pPr>
      <w:r>
        <w:rPr>
          <w:rFonts w:ascii="Calibri" w:hAnsi="Calibri"/>
          <w:color w:val="28323C"/>
          <w:sz w:val="19"/>
        </w:rPr>
      </w:r>
      <w:r>
        <w:rPr>
          <w:rFonts w:ascii="Calibri" w:hAnsi="Calibri"/>
          <w:b/>
          <w:color w:val="28323C"/>
          <w:sz w:val="19"/>
        </w:rPr>
        <w:t>Result:</w:t>
      </w:r>
      <w:r>
        <w:rPr>
          <w:rFonts w:ascii="Calibri" w:hAnsi="Calibri"/>
          <w:color w:val="28323C"/>
          <w:sz w:val="19"/>
        </w:rPr>
        <w:t xml:space="preserve"> Guarantees that the manufacturer has robust lifecycle controls preventing unmonitored model drift or unauthorized functional alterations in production.</w:t>
      </w:r>
    </w:p>
    <w:p>
      <w:pPr>
        <w:spacing w:before="200" w:after="80"/>
      </w:pPr>
      <w:r>
        <w:rPr>
          <w:rFonts w:ascii="Calibri" w:hAnsi="Calibri"/>
          <w:b/>
          <w:color w:val="17365D"/>
          <w:sz w:val="23"/>
        </w:rPr>
        <w:t>4. Strategic Reverse Questions for the BSI Interview Panel</w:t>
      </w:r>
    </w:p>
    <w:p>
      <w:pPr>
        <w:spacing w:before="120" w:after="40"/>
      </w:pPr>
      <w:r>
        <w:rPr>
          <w:rFonts w:ascii="Calibri" w:hAnsi="Calibri"/>
          <w:b/>
          <w:color w:val="28466E"/>
          <w:sz w:val="21"/>
        </w:rPr>
        <w:t>Questions for the Head of AI Conformity Assessment / Notified Body Leadership:</w:t>
      </w:r>
    </w:p>
    <w:p>
      <w:pPr>
        <w:spacing w:before="0" w:after="80"/>
      </w:pPr>
      <w:r>
        <w:rPr>
          <w:rFonts w:ascii="Calibri" w:hAnsi="Calibri"/>
          <w:color w:val="28323C"/>
          <w:sz w:val="19"/>
        </w:rPr>
        <w:t xml:space="preserve">1. </w:t>
      </w:r>
      <w:r>
        <w:rPr>
          <w:rFonts w:ascii="Calibri" w:hAnsi="Calibri"/>
          <w:i/>
          <w:color w:val="28323C"/>
          <w:sz w:val="19"/>
        </w:rPr>
        <w:t>"With the phased enforcement of the EU AI Act progressing rapidly, what are the primary industry sectors currently seeking Notified Body conformity assessments through BSI (e.g., medical devices vs. industrial automation vs. financial biometrics)?"</w:t>
      </w:r>
      <w:r>
        <w:rPr>
          <w:rFonts w:ascii="Calibri" w:hAnsi="Calibri"/>
          <w:color w:val="28323C"/>
          <w:sz w:val="19"/>
        </w:rPr>
      </w:r>
    </w:p>
    <w:p>
      <w:pPr>
        <w:spacing w:before="0" w:after="80"/>
      </w:pPr>
      <w:r>
        <w:rPr>
          <w:rFonts w:ascii="Calibri" w:hAnsi="Calibri"/>
          <w:color w:val="28323C"/>
          <w:sz w:val="19"/>
        </w:rPr>
        <w:t xml:space="preserve">2. </w:t>
      </w:r>
      <w:r>
        <w:rPr>
          <w:rFonts w:ascii="Calibri" w:hAnsi="Calibri"/>
          <w:i/>
          <w:color w:val="28323C"/>
          <w:sz w:val="19"/>
        </w:rPr>
        <w:t>"How does BSI coordinate between its Netherlands Notified Body (NB 2797) and the global team of AI Technical Specialists to ensure consistent interpretation of harmonized standards?"</w:t>
      </w:r>
      <w:r>
        <w:rPr>
          <w:rFonts w:ascii="Calibri" w:hAnsi="Calibri"/>
          <w:color w:val="28323C"/>
          <w:sz w:val="19"/>
        </w:rPr>
      </w:r>
    </w:p>
    <w:p>
      <w:pPr>
        <w:spacing w:before="0" w:after="80"/>
      </w:pPr>
      <w:r>
        <w:rPr>
          <w:rFonts w:ascii="Calibri" w:hAnsi="Calibri"/>
          <w:color w:val="28323C"/>
          <w:sz w:val="19"/>
        </w:rPr>
        <w:t xml:space="preserve">3. </w:t>
      </w:r>
      <w:r>
        <w:rPr>
          <w:rFonts w:ascii="Calibri" w:hAnsi="Calibri"/>
          <w:i/>
          <w:color w:val="28323C"/>
          <w:sz w:val="19"/>
        </w:rPr>
        <w:t>"What internal testing tools or sandboxes is BSI currently developing to assist assessors in validating client model technical files?"</w:t>
      </w:r>
      <w:r>
        <w:rPr>
          <w:rFonts w:ascii="Calibri" w:hAnsi="Calibri"/>
          <w:color w:val="28323C"/>
          <w:sz w:val="19"/>
        </w:rPr>
      </w:r>
    </w:p>
    <w:p>
      <w:pPr>
        <w:spacing w:before="120" w:after="40"/>
      </w:pPr>
      <w:r>
        <w:rPr>
          <w:rFonts w:ascii="Calibri" w:hAnsi="Calibri"/>
          <w:b/>
          <w:color w:val="28466E"/>
          <w:sz w:val="21"/>
        </w:rPr>
        <w:t>Questions for Senior Technical Assessors / Team Leads:</w:t>
      </w:r>
    </w:p>
    <w:p>
      <w:pPr>
        <w:spacing w:before="0" w:after="80"/>
      </w:pPr>
      <w:r>
        <w:rPr>
          <w:rFonts w:ascii="Calibri" w:hAnsi="Calibri"/>
          <w:color w:val="28323C"/>
          <w:sz w:val="19"/>
        </w:rPr>
        <w:t xml:space="preserve">4. </w:t>
      </w:r>
      <w:r>
        <w:rPr>
          <w:rFonts w:ascii="Calibri" w:hAnsi="Calibri"/>
          <w:i/>
          <w:color w:val="28323C"/>
          <w:sz w:val="19"/>
        </w:rPr>
        <w:t>"When evaluating proprietary or closed-source foundation models embedded in client applications, how does BSI verify compliance with transparency and data provenance requirements?"</w:t>
      </w:r>
      <w:r>
        <w:rPr>
          <w:rFonts w:ascii="Calibri" w:hAnsi="Calibri"/>
          <w:color w:val="28323C"/>
          <w:sz w:val="19"/>
        </w:rPr>
      </w:r>
    </w:p>
    <w:p>
      <w:pPr>
        <w:spacing w:before="0" w:after="80"/>
      </w:pPr>
      <w:r>
        <w:rPr>
          <w:rFonts w:ascii="Calibri" w:hAnsi="Calibri"/>
          <w:color w:val="28323C"/>
          <w:sz w:val="19"/>
        </w:rPr>
        <w:t xml:space="preserve">5. </w:t>
      </w:r>
      <w:r>
        <w:rPr>
          <w:rFonts w:ascii="Calibri" w:hAnsi="Calibri"/>
          <w:i/>
          <w:color w:val="28323C"/>
          <w:sz w:val="19"/>
        </w:rPr>
        <w:t>"How do you balance assessing purely statistical ML models (like Spark MLlib classification or regression) versus modern generative LLM / agentic architectures?"</w:t>
      </w:r>
      <w:r>
        <w:rPr>
          <w:rFonts w:ascii="Calibri" w:hAnsi="Calibri"/>
          <w:color w:val="28323C"/>
          <w:sz w:val="19"/>
        </w:rPr>
      </w:r>
    </w:p>
    <w:p>
      <w:pPr>
        <w:spacing w:before="0" w:after="80"/>
      </w:pPr>
      <w:r>
        <w:rPr>
          <w:rFonts w:ascii="Calibri" w:hAnsi="Calibri"/>
          <w:color w:val="28323C"/>
          <w:sz w:val="19"/>
        </w:rPr>
        <w:t xml:space="preserve">6. </w:t>
      </w:r>
      <w:r>
        <w:rPr>
          <w:rFonts w:ascii="Calibri" w:hAnsi="Calibri"/>
          <w:i/>
          <w:color w:val="28323C"/>
          <w:sz w:val="19"/>
        </w:rPr>
        <w:t>"What does the typical lifecycle of a technical documentation review look like from initial dossier receipt to final assessment report?"</w:t>
      </w:r>
      <w:r>
        <w:rPr>
          <w:rFonts w:ascii="Calibri" w:hAnsi="Calibri"/>
          <w:color w:val="28323C"/>
          <w:sz w:val="19"/>
        </w:rPr>
      </w:r>
    </w:p>
    <w:p>
      <w:pPr>
        <w:spacing w:before="120" w:after="40"/>
      </w:pPr>
      <w:r>
        <w:rPr>
          <w:rFonts w:ascii="Calibri" w:hAnsi="Calibri"/>
          <w:b/>
          <w:color w:val="28466E"/>
          <w:sz w:val="21"/>
        </w:rPr>
        <w:t>Questions on Professional Development &amp; Team Collaboration:</w:t>
      </w:r>
    </w:p>
    <w:p>
      <w:pPr>
        <w:spacing w:before="0" w:after="80"/>
      </w:pPr>
      <w:r>
        <w:rPr>
          <w:rFonts w:ascii="Calibri" w:hAnsi="Calibri"/>
          <w:color w:val="28323C"/>
          <w:sz w:val="19"/>
        </w:rPr>
        <w:t xml:space="preserve">7. </w:t>
      </w:r>
      <w:r>
        <w:rPr>
          <w:rFonts w:ascii="Calibri" w:hAnsi="Calibri"/>
          <w:i/>
          <w:color w:val="28323C"/>
          <w:sz w:val="19"/>
        </w:rPr>
        <w:t>"Given BSI’s Royal Charter commitment to inspiring trust, how does the AI team contribute to shaping international standards committees (such as ISO/IEC JTC 1/SC 42 or CEN-CENELEC JTC 21)?"</w:t>
      </w:r>
      <w:r>
        <w:rPr>
          <w:rFonts w:ascii="Calibri" w:hAnsi="Calibri"/>
          <w:color w:val="28323C"/>
          <w:sz w:val="19"/>
        </w:rPr>
      </w:r>
    </w:p>
    <w:p>
      <w:pPr>
        <w:spacing w:before="0" w:after="80"/>
      </w:pPr>
      <w:r>
        <w:rPr>
          <w:rFonts w:ascii="Calibri" w:hAnsi="Calibri"/>
          <w:color w:val="28323C"/>
          <w:sz w:val="19"/>
        </w:rPr>
        <w:t xml:space="preserve">8. </w:t>
      </w:r>
      <w:r>
        <w:rPr>
          <w:rFonts w:ascii="Calibri" w:hAnsi="Calibri"/>
          <w:i/>
          <w:color w:val="28323C"/>
          <w:sz w:val="19"/>
        </w:rPr>
        <w:t>"What does success look like for an AI Technical Specialist in this team over their first 6 to 12 months?"</w:t>
      </w:r>
      <w:r>
        <w:rPr>
          <w:rFonts w:ascii="Calibri" w:hAnsi="Calibri"/>
          <w:color w:val="28323C"/>
          <w:sz w:val="19"/>
        </w:rPr>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