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Times New Roman" w:hAnsi="Times New Roman"/>
          <w:b/>
          <w:color w:val="17365D"/>
          <w:sz w:val="36"/>
        </w:rPr>
        <w:t xml:space="preserve">Ebenezer J. Rolston</w:t>
      </w:r>
    </w:p>
    <w:p>
      <w:pPr>
        <w:jc w:val="center"/>
        <w:spacing w:before="0" w:after="30" w:line="240" w:lineRule="auto"/>
      </w:pPr>
      <w:r>
        <w:rPr>
          <w:rFonts w:ascii="Times New Roman" w:hAnsi="Times New Roman"/>
          <w:b/>
          <w:color w:val="17365D"/>
          <w:sz w:val="19"/>
        </w:rPr>
        <w:t xml:space="preserve">AI Conformity Assessment • Machine Learning Systems • Regulatory Standards &amp; Model Governance</w:t>
      </w:r>
    </w:p>
    <w:p>
      <w:pPr>
        <w:jc w:val="center"/>
        <w:spacing w:before="0" w:after="80" w:line="240" w:lineRule="auto"/>
      </w:pPr>
      <w:r>
        <w:rPr>
          <w:color w:val="1F1F1F"/>
          <w:sz w:val="18"/>
        </w:rPr>
        <w:t xml:space="preserve">Denver, CO • </w:t>
      </w:r>
      <w:r>
        <w:rPr>
          <w:color w:val="1F1F1F"/>
          <w:sz w:val="18"/>
        </w:rPr>
        <w:t xml:space="preserve">eberolston@yahoo.com</w:t>
      </w:r>
      <w:r>
        <w:rPr>
          <w:color w:val="1F1F1F"/>
          <w:sz w:val="18"/>
        </w:rPr>
        <w:t xml:space="preserve"> • 501-307-3237 • </w:t>
      </w:r>
      <w:hyperlink r:id="rIdHyperlink1">
        <w:r>
          <w:rPr>
            <w:b/>
            <w:color w:val="17365D"/>
            <w:sz w:val="18"/>
            <w:u w:val="single"/>
          </w:rPr>
          <w:t xml:space="preserve">LinkedIn</w:t>
        </w:r>
      </w:hyperlink>
      <w:r>
        <w:rPr>
          <w:color w:val="1F1F1F"/>
          <w:sz w:val="18"/>
        </w:rPr>
        <w:t xml:space="preserve"> • </w:t>
      </w:r>
      <w:hyperlink r:id="rIdHyperlink2">
        <w:r>
          <w:rPr>
            <w:b/>
            <w:color w:val="17365D"/>
            <w:sz w:val="18"/>
            <w:u w:val="single"/>
          </w:rPr>
          <w:t xml:space="preserve">GitHub</w:t>
        </w:r>
      </w:hyperlink>
      <w:r>
        <w:rPr>
          <w:color w:val="1F1F1F"/>
          <w:sz w:val="18"/>
        </w:rPr>
        <w:t xml:space="preserve"> • </w:t>
      </w:r>
      <w:hyperlink r:id="rIdHyperlink3">
        <w:r>
          <w:rPr>
            <w:b/>
            <w:color w:val="17365D"/>
            <w:sz w:val="18"/>
            <w:u w:val="single"/>
          </w:rPr>
          <w:t xml:space="preserve">AI Guardians</w:t>
        </w:r>
      </w:hyperlink>
    </w:p>
    <w:p>
      <w:pPr>
        <w:spacing w:before="120" w:after="40" w:line="240" w:lineRule="auto"/>
      </w:pPr>
      <w:r>
        <w:rPr>
          <w:b/>
          <w:color w:val="17365D"/>
          <w:sz w:val="20"/>
        </w:rPr>
        <w:t xml:space="preserve">PROFESSIONAL SUMMARY</w:t>
      </w:r>
    </w:p>
    <w:p>
      <w:pPr>
        <w:spacing w:before="0" w:after="40" w:line="240" w:lineRule="auto"/>
      </w:pPr>
      <w:r>
        <w:rPr>
          <w:color w:val="1F1F1F"/>
          <w:sz w:val="18"/>
        </w:rPr>
        <w:t xml:space="preserve">AI Systems and Conformity Specialist with 20+ years of technical systems engineering, compliance auditing, and machine learning evaluation experience across regulated government and enterprise environments. Combines deep expertise in AI regulatory standards (EU AI Act, ISO/IEC 42001, ISO/IEC 23894, NIST AI RMF 1.0) with advanced hands-on data science and machine learning competencies gained through UC Berkeley (Machine Learning &amp; Deep Learning with Spark - Grade A), Stanford Continuing Studies (TECH 77 Modern AI Architectures &amp; Python Data Analysis), Harvard SEAS (LLMs &amp; Agentic AI), and Oxford MLx Cases. Experienced in assessing technical documentation, conducting model validation across supervised/unsupervised learning, neural networks, classification, and LLMs, and identifying risk vectors in software development lifecycles. Brings 14 years supporting federal platforms at the U.S. Department of the Interior and 11 years at Acxiom architecting high-volume data validation engines. Holds an M.S. and B.S. in Computer Science and is a two-time recipient of Department of the Interior Awards for Excellence.</w:t>
      </w:r>
    </w:p>
    <w:p>
      <w:pPr>
        <w:spacing w:before="0" w:after="80" w:line="240" w:lineRule="auto"/>
      </w:pPr>
      <w:r>
        <w:rPr>
          <w:b/>
          <w:i/>
          <w:color w:val="5B9BD5"/>
          <w:sz w:val="18"/>
        </w:rPr>
        <w:t xml:space="preserve">Winner of two Department of Interior Awards</w:t>
      </w:r>
    </w:p>
    <w:p>
      <w:pPr>
        <w:spacing w:before="100" w:after="40" w:line="240" w:lineRule="auto"/>
      </w:pPr>
      <w:r>
        <w:rPr>
          <w:b/>
          <w:color w:val="17365D"/>
          <w:sz w:val="20"/>
        </w:rPr>
        <w:t xml:space="preserve">CORE COMPETENCIES</w:t>
      </w:r>
    </w:p>
    <w:p>
      <w:pPr>
        <w:spacing w:before="0" w:after="100" w:line="240" w:lineRule="auto"/>
      </w:pPr>
      <w:r>
        <w:rPr>
          <w:b/>
          <w:color w:val="1F1F1F"/>
          <w:sz w:val="17"/>
        </w:rPr>
        <w:t xml:space="preserve">▪ AI Conformity Assessment &amp; Auditing ▪ Machine Learning Model Evaluation ▪ Regulatory Standards &amp; EU AI Act ▪ ISO 42001 &amp; NIST AI RMF ▪ Deep Learning &amp; Neural Networks ▪ Supervised &amp; Unsupervised Learning ▪ Distributed ML with Apache Spark ▪ LLM &amp; Multimodal Architecture Assessment ▪ Risk Management &amp; AI Safety ▪ Software Development Lifecycle SDLC ▪ Technical Documentation &amp; Traceability ▪ Cross-Functional Technical Advisory</w:t>
      </w:r>
    </w:p>
    <w:p>
      <w:pPr>
        <w:spacing w:before="120" w:after="40" w:line="240" w:lineRule="auto"/>
      </w:pPr>
      <w:r>
        <w:rPr>
          <w:b/>
          <w:color w:val="17365D"/>
          <w:sz w:val="20"/>
        </w:rPr>
        <w:t xml:space="preserve">PROFESSIONAL EXPERIENCE</w:t>
      </w:r>
    </w:p>
    <w:p>
      <w:pPr>
        <w:spacing w:before="40" w:after="10" w:line="240" w:lineRule="auto"/>
      </w:pPr>
      <w:r>
        <w:rPr>
          <w:b/>
          <w:color w:val="17365D"/>
          <w:sz w:val="19"/>
        </w:rPr>
        <w:t xml:space="preserve">AI Engineering &amp; Governance Lead</w:t>
      </w:r>
      <w:r>
        <w:rPr>
          <w:color w:val="1F1F1F"/>
          <w:sz w:val="19"/>
        </w:rPr>
        <w:t xml:space="preserve"> | AI Guardians LLC</w:t>
      </w:r>
    </w:p>
    <w:p>
      <w:pPr>
        <w:spacing w:before="0" w:after="20" w:line="240" w:lineRule="auto"/>
      </w:pPr>
      <w:r>
        <w:rPr>
          <w:i/>
          <w:color w:val="595959"/>
          <w:sz w:val="17"/>
        </w:rPr>
        <w:t xml:space="preserve">Denver, CO | Jan 2026–Present</w:t>
      </w:r>
    </w:p>
    <w:p>
      <w:pPr>
        <w:spacing w:before="0" w:after="20" w:line="240" w:lineRule="auto"/>
      </w:pPr>
      <w:r>
        <w:rPr>
          <w:color w:val="1F1F1F"/>
          <w:sz w:val="18"/>
        </w:rPr>
        <w:t xml:space="preserve">Architected technical assessment frameworks and verification harnesses evaluating machine learning models and generative AI systems for robustness, data drift, and bias.</w:t>
      </w:r>
    </w:p>
    <w:p>
      <w:pPr>
        <w:spacing w:before="0" w:after="20" w:line="240" w:lineRule="auto"/>
      </w:pPr>
      <w:r>
        <w:rPr>
          <w:color w:val="1F1F1F"/>
          <w:sz w:val="18"/>
        </w:rPr>
        <w:t xml:space="preserve">Operationalized conformity assessment criteria mapped to the EU AI Act High-Risk classifications, ISO/IEC 42001 AI Management Systems, and NIST AI RMF 1.0.</w:t>
      </w:r>
    </w:p>
    <w:p>
      <w:pPr>
        <w:spacing w:before="0" w:after="20" w:line="240" w:lineRule="auto"/>
      </w:pPr>
      <w:r>
        <w:rPr>
          <w:color w:val="1F1F1F"/>
          <w:sz w:val="18"/>
        </w:rPr>
        <w:t xml:space="preserve">Engineered schema-governed validation layers and Pydantic contracts that enforce deterministic testing gates on model inference, inputs, and outputs.</w:t>
      </w:r>
    </w:p>
    <w:p>
      <w:pPr>
        <w:spacing w:before="0" w:after="20" w:line="240" w:lineRule="auto"/>
      </w:pPr>
      <w:r>
        <w:rPr>
          <w:color w:val="1F1F1F"/>
          <w:sz w:val="18"/>
        </w:rPr>
        <w:t xml:space="preserve">Built automated testing suites assessing prompt injection resistance, hallucination boundaries, and data lineage traceability across multimodal agent workflows.</w:t>
      </w:r>
    </w:p>
    <w:p>
      <w:pPr>
        <w:spacing w:before="60" w:after="10" w:line="240" w:lineRule="auto"/>
      </w:pPr>
      <w:r>
        <w:rPr>
          <w:b/>
          <w:color w:val="17365D"/>
          <w:sz w:val="19"/>
        </w:rPr>
        <w:t xml:space="preserve">Program Analyst, Acquisition Directorate</w:t>
      </w:r>
      <w:r>
        <w:rPr>
          <w:color w:val="1F1F1F"/>
          <w:sz w:val="19"/>
        </w:rPr>
        <w:t xml:space="preserve"> | U.S. Department of the Interior</w:t>
      </w:r>
    </w:p>
    <w:p>
      <w:pPr>
        <w:spacing w:before="0" w:after="10" w:line="240" w:lineRule="auto"/>
      </w:pPr>
      <w:r>
        <w:rPr>
          <w:i/>
          <w:color w:val="595959"/>
          <w:sz w:val="17"/>
        </w:rPr>
        <w:t xml:space="preserve">Denver, CO | Jan–Sep 2025</w:t>
      </w:r>
    </w:p>
    <w:p>
      <w:pPr>
        <w:spacing w:before="0" w:after="20" w:line="240" w:lineRule="auto"/>
      </w:pPr>
      <w:r>
        <w:rPr>
          <w:i/>
          <w:color w:val="17365D"/>
          <w:sz w:val="17"/>
        </w:rPr>
        <w:t xml:space="preserve">Cross-functional Analyst lead for Acquisition Directorate enterprise systems and business technology; GS-13</w:t>
      </w:r>
    </w:p>
    <w:p>
      <w:pPr>
        <w:spacing w:before="0" w:after="20" w:line="240" w:lineRule="auto"/>
      </w:pPr>
      <w:r>
        <w:rPr>
          <w:color w:val="1F1F1F"/>
          <w:sz w:val="18"/>
        </w:rPr>
        <w:t xml:space="preserve">Senior operational lead for mission-critical enterprise platforms, managing compliance reviews, technical documentation, and high-availability system integrity.</w:t>
      </w:r>
    </w:p>
    <w:p>
      <w:pPr>
        <w:spacing w:before="0" w:after="20" w:line="240" w:lineRule="auto"/>
      </w:pPr>
      <w:r>
        <w:rPr>
          <w:color w:val="1F1F1F"/>
          <w:sz w:val="18"/>
        </w:rPr>
        <w:t xml:space="preserve">Conducted root-cause technical investigations and data audits across interconnected platforms, assuring adherence to federal regulatory standards and cybersecurity directives.</w:t>
      </w:r>
    </w:p>
    <w:p>
      <w:pPr>
        <w:spacing w:before="0" w:after="20" w:line="240" w:lineRule="auto"/>
      </w:pPr>
      <w:r>
        <w:rPr>
          <w:color w:val="1F1F1F"/>
          <w:sz w:val="18"/>
        </w:rPr>
        <w:t xml:space="preserve">Authored system compliance documentation, standard operating procedures (SOPs), and audit response artifacts for federal oversight bodies.</w:t>
      </w:r>
    </w:p>
    <w:p>
      <w:pPr>
        <w:spacing w:before="0" w:after="20" w:line="240" w:lineRule="auto"/>
      </w:pPr>
      <w:r>
        <w:rPr>
          <w:color w:val="1F1F1F"/>
          <w:sz w:val="18"/>
        </w:rPr>
        <w:t xml:space="preserve">Provided technical mentorship and training to operational personnel, bridging complex software engineering requirements with regulatory accountability.</w:t>
      </w:r>
    </w:p>
    <w:p>
      <w:pPr>
        <w:spacing w:before="60" w:after="10" w:line="240" w:lineRule="auto"/>
      </w:pPr>
      <w:r>
        <w:rPr>
          <w:b/>
          <w:color w:val="17365D"/>
          <w:sz w:val="19"/>
        </w:rPr>
        <w:t xml:space="preserve">Senior Technical Systems Consultant</w:t>
      </w:r>
      <w:r>
        <w:rPr>
          <w:color w:val="1F1F1F"/>
          <w:sz w:val="19"/>
        </w:rPr>
        <w:t xml:space="preserve"> | ARK Solutions — Client : IBC Acquisition Directorate</w:t>
      </w:r>
    </w:p>
    <w:p>
      <w:pPr>
        <w:spacing w:before="0" w:after="10" w:line="240" w:lineRule="auto"/>
      </w:pPr>
      <w:r>
        <w:rPr>
          <w:i/>
          <w:color w:val="595959"/>
          <w:sz w:val="17"/>
        </w:rPr>
        <w:t xml:space="preserve">Denver, CO | 2011–2025</w:t>
      </w:r>
    </w:p>
    <w:p>
      <w:pPr>
        <w:spacing w:before="0" w:after="20" w:line="240" w:lineRule="auto"/>
      </w:pPr>
      <w:r>
        <w:rPr>
          <w:i/>
          <w:color w:val="17365D"/>
          <w:sz w:val="17"/>
        </w:rPr>
        <w:t xml:space="preserve">14-year technical systems support, architecture validation &amp; compliance review</w:t>
      </w:r>
    </w:p>
    <w:p>
      <w:pPr>
        <w:spacing w:before="0" w:after="20" w:line="240" w:lineRule="auto"/>
      </w:pPr>
      <w:r>
        <w:rPr>
          <w:color w:val="1F1F1F"/>
          <w:sz w:val="18"/>
        </w:rPr>
        <w:t xml:space="preserve">Served as Senior Escalation Lead handling 5 to 10 mission-critical enterprise incidents daily; performed deep root-cause analysis to eliminate recurring defects.</w:t>
      </w:r>
    </w:p>
    <w:p>
      <w:pPr>
        <w:spacing w:before="0" w:after="20" w:line="240" w:lineRule="auto"/>
      </w:pPr>
      <w:r>
        <w:rPr>
          <w:color w:val="1F1F1F"/>
          <w:sz w:val="18"/>
        </w:rPr>
        <w:t xml:space="preserve">Department ETL Architect for the multi-agency FBMS conversion, validating data integrity, schema normalization, and system transformations across 4 federal agencies.</w:t>
      </w:r>
    </w:p>
    <w:p>
      <w:pPr>
        <w:spacing w:before="0" w:after="20" w:line="240" w:lineRule="auto"/>
      </w:pPr>
      <w:r>
        <w:rPr>
          <w:color w:val="1F1F1F"/>
          <w:sz w:val="18"/>
        </w:rPr>
        <w:t xml:space="preserve">Reviewed technical specifications, system architecture documents, and test reports to ensure compliance with federal security and procurement regulations.</w:t>
      </w:r>
    </w:p>
    <w:p>
      <w:pPr>
        <w:spacing w:before="0" w:after="20" w:line="240" w:lineRule="auto"/>
      </w:pPr>
      <w:r>
        <w:rPr>
          <w:color w:val="1F1F1F"/>
          <w:sz w:val="18"/>
        </w:rPr>
        <w:t xml:space="preserve">Developed automated SQL reconciliation frameworks comparing pre- and post-migration system states to verify complete data fidelity and traceability.</w:t>
      </w:r>
    </w:p>
    <w:p>
      <w:pPr>
        <w:spacing w:before="60" w:after="10" w:line="240" w:lineRule="auto"/>
      </w:pPr>
      <w:r>
        <w:rPr>
          <w:b/>
          <w:color w:val="17365D"/>
          <w:sz w:val="19"/>
        </w:rPr>
        <w:t xml:space="preserve">Senior Solutions Architect / Systems Analyst</w:t>
      </w:r>
      <w:r>
        <w:rPr>
          <w:color w:val="1F1F1F"/>
          <w:sz w:val="19"/>
        </w:rPr>
        <w:t xml:space="preserve"> | Acxiom Corporation</w:t>
      </w:r>
    </w:p>
    <w:p>
      <w:pPr>
        <w:spacing w:before="0" w:after="10" w:line="240" w:lineRule="auto"/>
      </w:pPr>
      <w:r>
        <w:rPr>
          <w:i/>
          <w:color w:val="595959"/>
          <w:sz w:val="17"/>
        </w:rPr>
        <w:t xml:space="preserve">Conway, AR | 2000–2011</w:t>
      </w:r>
    </w:p>
    <w:p>
      <w:pPr>
        <w:spacing w:before="0" w:after="20" w:line="240" w:lineRule="auto"/>
      </w:pPr>
      <w:r>
        <w:rPr>
          <w:i/>
          <w:color w:val="17365D"/>
          <w:sz w:val="17"/>
        </w:rPr>
        <w:t xml:space="preserve">11-year progressive leadership in large-scale data systems, algorithmic scoring &amp; validation</w:t>
      </w:r>
    </w:p>
    <w:p>
      <w:pPr>
        <w:spacing w:before="0" w:after="20" w:line="240" w:lineRule="auto"/>
      </w:pPr>
      <w:r>
        <w:rPr>
          <w:color w:val="1F1F1F"/>
          <w:sz w:val="18"/>
        </w:rPr>
        <w:t xml:space="preserve">Architected enterprise identity matching pipelines, evaluating algorithmic scoring rules and entity resolution models across massive transaction databases.</w:t>
      </w:r>
    </w:p>
    <w:p>
      <w:pPr>
        <w:spacing w:before="0" w:after="20" w:line="240" w:lineRule="auto"/>
      </w:pPr>
      <w:r>
        <w:rPr>
          <w:color w:val="1F1F1F"/>
          <w:sz w:val="18"/>
        </w:rPr>
        <w:t xml:space="preserve">Conducted rigorous data quality profiling, risk assessments, and model performance audits to ensure compliance with data governance and privacy policies.</w:t>
      </w:r>
    </w:p>
    <w:p>
      <w:pPr>
        <w:spacing w:before="0" w:after="20" w:line="240" w:lineRule="auto"/>
      </w:pPr>
      <w:r>
        <w:rPr>
          <w:color w:val="1F1F1F"/>
          <w:sz w:val="18"/>
        </w:rPr>
        <w:t xml:space="preserve">Partnered with cross-functional engineering and client teams to design functional test cases, validating model behavior under boundary conditions.</w:t>
      </w:r>
    </w:p>
    <w:p>
      <w:pPr>
        <w:spacing w:before="120" w:after="40" w:line="240" w:lineRule="auto"/>
      </w:pPr>
      <w:r>
        <w:rPr>
          <w:b/>
          <w:color w:val="17365D"/>
          <w:sz w:val="20"/>
        </w:rPr>
        <w:t xml:space="preserve">APPLIED MACHINE LEARNING &amp; AI SYSTEMS EVALUATION</w:t>
      </w:r>
    </w:p>
    <w:p>
      <w:pPr>
        <w:spacing w:before="20" w:after="10" w:line="240" w:lineRule="auto"/>
      </w:pPr>
      <w:r>
        <w:rPr>
          <w:b/>
          <w:color w:val="17365D"/>
          <w:sz w:val="19"/>
        </w:rPr>
        <w:t xml:space="preserve">Distributed Machine Learning &amp; Deep Learning with Spark</w:t>
      </w:r>
      <w:r>
        <w:rPr>
          <w:i/>
          <w:color w:val="595959"/>
          <w:sz w:val="17"/>
        </w:rPr>
        <w:t xml:space="preserve"> | UC Berkeley Extension (COMPSCI X433.7, Grade A)</w:t>
      </w:r>
    </w:p>
    <w:p>
      <w:pPr>
        <w:spacing w:before="0" w:after="15" w:line="240" w:lineRule="auto"/>
      </w:pPr>
      <w:r>
        <w:rPr>
          <w:color w:val="1F1F1F"/>
          <w:sz w:val="18"/>
        </w:rPr>
        <w:t xml:space="preserve">Engineered and validated distributed machine learning pipelines with PySpark and Spark MLlib, evaluating neural networks, supervised and unsupervised classifiers, regression models, and clustering algorithms across large-scale datasets.</w:t>
      </w:r>
    </w:p>
    <w:p>
      <w:pPr>
        <w:spacing w:before="0" w:after="15" w:line="240" w:lineRule="auto"/>
      </w:pPr>
      <w:r>
        <w:rPr>
          <w:color w:val="1F1F1F"/>
          <w:sz w:val="18"/>
        </w:rPr>
        <w:t xml:space="preserve">Conducted hyperparameter tuning, cross-validation, and error surface analysis to measure model variance, bias, and generalizability under rigorous statistical criteria.</w:t>
      </w:r>
    </w:p>
    <w:p>
      <w:pPr>
        <w:spacing w:before="20" w:after="10" w:line="240" w:lineRule="auto"/>
      </w:pPr>
      <w:r>
        <w:rPr>
          <w:b/>
          <w:color w:val="17365D"/>
          <w:sz w:val="19"/>
        </w:rPr>
        <w:t xml:space="preserve">Auditable Multimodal Document Intelligence &amp; Model Benchmarking</w:t>
      </w:r>
      <w:r>
        <w:rPr>
          <w:i/>
          <w:color w:val="595959"/>
          <w:sz w:val="17"/>
        </w:rPr>
        <w:t xml:space="preserve"> | Stanford TECH 77: Modern AI Architectures</w:t>
      </w:r>
    </w:p>
    <w:p>
      <w:pPr>
        <w:spacing w:before="0" w:after="15" w:line="240" w:lineRule="auto"/>
      </w:pPr>
      <w:r>
        <w:rPr>
          <w:color w:val="1F1F1F"/>
          <w:sz w:val="18"/>
        </w:rPr>
        <w:t xml:space="preserve">Benchmarked Vision Language Models (VLMs), Document Transformers, and OCR baselines on unstructured business records, analyzing failure modes, hallucination rates, and confidence-score calibration.</w:t>
      </w:r>
    </w:p>
    <w:p>
      <w:pPr>
        <w:spacing w:before="0" w:after="15" w:line="240" w:lineRule="auto"/>
      </w:pPr>
      <w:r>
        <w:rPr>
          <w:color w:val="1F1F1F"/>
          <w:sz w:val="18"/>
        </w:rPr>
        <w:t xml:space="preserve">Architected LangGraph StateGraph conditional routing with strict Pydantic validation and prompt-injection anomaly gating, enforcing verifiable human-in-the-loop escalation paths.</w:t>
      </w:r>
    </w:p>
    <w:p>
      <w:pPr>
        <w:spacing w:before="20" w:after="10" w:line="240" w:lineRule="auto"/>
      </w:pPr>
      <w:r>
        <w:rPr>
          <w:b/>
          <w:color w:val="17365D"/>
          <w:sz w:val="19"/>
        </w:rPr>
        <w:t xml:space="preserve">End-to-End AI System Deployment &amp; Robustness Testing</w:t>
      </w:r>
      <w:r>
        <w:rPr>
          <w:i/>
          <w:color w:val="595959"/>
          <w:sz w:val="17"/>
        </w:rPr>
        <w:t xml:space="preserve"> | Oxford Machine Learning Institute (MLx Cases 2026)</w:t>
      </w:r>
    </w:p>
    <w:p>
      <w:pPr>
        <w:spacing w:before="0" w:after="20" w:line="240" w:lineRule="auto"/>
      </w:pPr>
      <w:r>
        <w:rPr>
          <w:color w:val="1F1F1F"/>
          <w:sz w:val="18"/>
        </w:rPr>
        <w:t xml:space="preserve">Participated in hands-on system building and assessment modules, evaluating production AI architectures for latency bottlenecks, boundary failure modes, and monitoring instrumentation.</w:t>
      </w:r>
    </w:p>
    <w:p>
      <w:pPr>
        <w:spacing w:before="120" w:after="40" w:line="240" w:lineRule="auto"/>
      </w:pPr>
      <w:r>
        <w:rPr>
          <w:b/>
          <w:color w:val="17365D"/>
          <w:sz w:val="20"/>
        </w:rPr>
        <w:t xml:space="preserve">EDUCATION &amp; PROFESSIONAL CREDENTIALS</w:t>
      </w:r>
    </w:p>
    <w:p>
      <w:pPr>
        <w:spacing w:before="0" w:after="15" w:line="240" w:lineRule="auto"/>
      </w:pPr>
      <w:r>
        <w:rPr>
          <w:b/>
          <w:color w:val="17365D"/>
          <w:sz w:val="18"/>
        </w:rPr>
        <w:t xml:space="preserve">M.S. &amp; B.S. in Computer Science</w:t>
      </w:r>
      <w:r>
        <w:rPr>
          <w:color w:val="1F1F1F"/>
          <w:sz w:val="18"/>
        </w:rPr>
        <w:t xml:space="preserve">: St. Joseph's College</w:t>
      </w:r>
    </w:p>
    <w:p>
      <w:pPr>
        <w:spacing w:before="0" w:after="15" w:line="240" w:lineRule="auto"/>
      </w:pPr>
      <w:r>
        <w:rPr>
          <w:b/>
          <w:color w:val="17365D"/>
          <w:sz w:val="18"/>
        </w:rPr>
        <w:t xml:space="preserve">Machine Learning and Deep Learning with Spark (COMPSCI X433.7, Grade A)</w:t>
      </w:r>
      <w:r>
        <w:rPr>
          <w:color w:val="1F1F1F"/>
          <w:sz w:val="18"/>
        </w:rPr>
        <w:t xml:space="preserve">: UC Berkeley Extension</w:t>
      </w:r>
    </w:p>
    <w:p>
      <w:pPr>
        <w:spacing w:before="0" w:after="15" w:line="240" w:lineRule="auto"/>
      </w:pPr>
      <w:r>
        <w:rPr>
          <w:b/>
          <w:color w:val="17365D"/>
          <w:sz w:val="18"/>
        </w:rPr>
        <w:t xml:space="preserve">TECH 77: Modern AI Architectures &amp; Data Analysis with Python</w:t>
      </w:r>
      <w:r>
        <w:rPr>
          <w:color w:val="1F1F1F"/>
          <w:sz w:val="18"/>
        </w:rPr>
        <w:t xml:space="preserve">: Stanford Continuing Studies</w:t>
      </w:r>
    </w:p>
    <w:p>
      <w:pPr>
        <w:spacing w:before="0" w:after="15" w:line="240" w:lineRule="auto"/>
      </w:pPr>
      <w:r>
        <w:rPr>
          <w:b/>
          <w:color w:val="17365D"/>
          <w:sz w:val="18"/>
        </w:rPr>
        <w:t xml:space="preserve">Graduate Certificate in AI Strategy &amp; Applications in IT</w:t>
      </w:r>
      <w:r>
        <w:rPr>
          <w:color w:val="1F1F1F"/>
          <w:sz w:val="18"/>
        </w:rPr>
        <w:t xml:space="preserve">: University of Denver</w:t>
      </w:r>
    </w:p>
    <w:p>
      <w:pPr>
        <w:spacing w:before="0" w:after="15" w:line="240" w:lineRule="auto"/>
      </w:pPr>
      <w:r>
        <w:rPr>
          <w:b/>
          <w:color w:val="17365D"/>
          <w:sz w:val="18"/>
        </w:rPr>
        <w:t xml:space="preserve">Executive Certificate — LLMs: Transformer to Agentic AI</w:t>
      </w:r>
      <w:r>
        <w:rPr>
          <w:color w:val="1F1F1F"/>
          <w:sz w:val="18"/>
        </w:rPr>
        <w:t xml:space="preserve">: Harvard John A. Paulson SEAS</w:t>
      </w:r>
    </w:p>
    <w:p>
      <w:pPr>
        <w:spacing w:before="0" w:after="15" w:line="240" w:lineRule="auto"/>
      </w:pPr>
      <w:r>
        <w:rPr>
          <w:b/>
          <w:color w:val="17365D"/>
          <w:sz w:val="18"/>
        </w:rPr>
        <w:t xml:space="preserve">AI Governance &amp; Privacy Frameworks (NIST AI RMF, ISO 42001)</w:t>
      </w:r>
      <w:r>
        <w:rPr>
          <w:color w:val="1F1F1F"/>
          <w:sz w:val="18"/>
        </w:rPr>
        <w:t xml:space="preserve">: AI Tech and Privacy Academy</w:t>
      </w:r>
    </w:p>
    <w:p>
      <w:pPr>
        <w:spacing w:before="0" w:after="15" w:line="240" w:lineRule="auto"/>
      </w:pPr>
      <w:r>
        <w:rPr>
          <w:b/>
          <w:color w:val="17365D"/>
          <w:sz w:val="18"/>
        </w:rPr>
        <w:t xml:space="preserve">MLx Cases 2026: Applied AI Systems Building</w:t>
      </w:r>
      <w:r>
        <w:rPr>
          <w:color w:val="1F1F1F"/>
          <w:sz w:val="18"/>
        </w:rPr>
        <w:t xml:space="preserve">: Oxford Machine Learning Institute</w:t>
      </w:r>
    </w:p>
    <w:p>
      <w:pPr>
        <w:spacing w:before="0" w:after="15" w:line="240" w:lineRule="auto"/>
      </w:pPr>
      <w:r>
        <w:rPr>
          <w:b/>
          <w:color w:val="17365D"/>
          <w:sz w:val="18"/>
        </w:rPr>
        <w:t xml:space="preserve">Two Department of the Interior Awards for Excellence</w:t>
      </w:r>
      <w:r>
        <w:rPr>
          <w:color w:val="1F1F1F"/>
          <w:sz w:val="18"/>
        </w:rPr>
        <w:t xml:space="preserve">: Interior Business Center &amp; FBMS Program</w:t>
      </w:r>
    </w:p>
    <w:p>
      <w:pPr>
        <w:spacing w:before="120" w:after="40" w:line="240" w:lineRule="auto"/>
      </w:pPr>
      <w:r>
        <w:rPr>
          <w:b/>
          <w:color w:val="17365D"/>
          <w:sz w:val="20"/>
        </w:rPr>
        <w:t xml:space="preserve">TECHNICAL &amp; CONFORMITY PROFICIENCIES</w:t>
      </w:r>
    </w:p>
    <w:p>
      <w:pPr>
        <w:spacing w:before="0" w:after="15" w:line="240" w:lineRule="auto"/>
      </w:pPr>
      <w:r>
        <w:rPr>
          <w:b/>
          <w:color w:val="17365D"/>
          <w:sz w:val="18"/>
        </w:rPr>
        <w:t xml:space="preserve">AI Regulations, Standards &amp; Notified Body Criteria: </w:t>
      </w:r>
      <w:r>
        <w:rPr>
          <w:color w:val="1F1F1F"/>
          <w:sz w:val="18"/>
        </w:rPr>
        <w:t xml:space="preserve">EU AI Act High-Risk Requirements • ISO/IEC 42001 AI Management Systems • ISO/IEC 23894 Risk Management • NIST AI RMF 1.0 • CE Marking Technical Documentation • ISO 13485 &amp; MDR/IVDR AI Device Principles • Conformity Assessment Procedures</w:t>
      </w:r>
    </w:p>
    <w:p>
      <w:pPr>
        <w:spacing w:before="0" w:after="15" w:line="240" w:lineRule="auto"/>
      </w:pPr>
      <w:r>
        <w:rPr>
          <w:b/>
          <w:color w:val="17365D"/>
          <w:sz w:val="18"/>
        </w:rPr>
        <w:t xml:space="preserve">Machine Learning &amp; Deep Learning Architectures: </w:t>
      </w:r>
      <w:r>
        <w:rPr>
          <w:color w:val="1F1F1F"/>
          <w:sz w:val="18"/>
        </w:rPr>
        <w:t xml:space="preserve">Supervised &amp; Unsupervised Learning • Neural Networks • Deep Learning • Classification &amp; Regression • Clustering • PySpark &amp; Spark MLlib • Large Language Models (LLMs) • Vision Language Models (VLMs) • Document Transformers • Probabilistic Methods</w:t>
      </w:r>
    </w:p>
    <w:p>
      <w:pPr>
        <w:spacing w:before="0" w:after="15" w:line="240" w:lineRule="auto"/>
      </w:pPr>
      <w:r>
        <w:rPr>
          <w:b/>
          <w:color w:val="17365D"/>
          <w:sz w:val="18"/>
        </w:rPr>
        <w:t xml:space="preserve">Model Evaluation, Testing &amp; Validation: </w:t>
      </w:r>
      <w:r>
        <w:rPr>
          <w:color w:val="1F1F1F"/>
          <w:sz w:val="18"/>
        </w:rPr>
        <w:t xml:space="preserve">Model Performance Metrics (ROC-AUC, Precision, Recall, F1) • Cross-Validation &amp; Hyperparameter Optimization • Data Drift &amp; Distribution Shifts • Algorithmic Bias &amp; Fairness Auditing • Adversarial &amp; Prompt Injection Testing • Hallucination Gating</w:t>
      </w:r>
    </w:p>
    <w:p>
      <w:pPr>
        <w:spacing w:before="0" w:after="15" w:line="240" w:lineRule="auto"/>
      </w:pPr>
      <w:r>
        <w:rPr>
          <w:b/>
          <w:color w:val="17365D"/>
          <w:sz w:val="18"/>
        </w:rPr>
        <w:t xml:space="preserve">Software Engineering, SDLC &amp; Governance: </w:t>
      </w:r>
      <w:r>
        <w:rPr>
          <w:color w:val="1F1F1F"/>
          <w:sz w:val="18"/>
        </w:rPr>
        <w:t xml:space="preserve">Technical Documentation Review • Traceability Matrices • Risk Management &amp; Mitigation • Python (Pandas, NumPy, Scikit-Learn) • Pydantic Contract Enforcement • REST API &amp; JSON Schema • Git &amp; GitHub • Stored Procedures &amp; Relational SQL</w:t>
      </w:r>
    </w:p>
    <w:p>
      <w:pPr>
        <w:spacing w:before="0" w:after="15" w:line="240" w:lineRule="auto"/>
      </w:pPr>
      <w:r>
        <w:rPr>
          <w:b/>
          <w:color w:val="17365D"/>
          <w:sz w:val="18"/>
        </w:rPr>
        <w:t xml:space="preserve">Technical Advisory &amp; Stakeholder Communication: </w:t>
      </w:r>
      <w:r>
        <w:rPr>
          <w:color w:val="1F1F1F"/>
          <w:sz w:val="18"/>
        </w:rPr>
        <w:t xml:space="preserve">Conformity Assessment Technical Reporting • Client Technical Consultation • Internal Team Mentoring • Cross-Functional Consensus Building • Standard Operating Procedures (SOPs) • Auditable Work Product Authoring</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github.com/EbeDenver" TargetMode="External"/>
  <Relationship Id="rIdHyperlink3" Type="http://schemas.openxmlformats.org/officeDocument/2006/relationships/hyperlink" Target="https://portal.aiguardiansllc.us/" TargetMode="External"/>
</Relationships>
</file>