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jc w:val="center"/>
        <w:spacing w:before="0" w:after="20" w:line="240" w:lineRule="auto"/>
      </w:pPr>
      <w:r>
        <w:rPr>
          <w:rFonts w:ascii="Times New Roman" w:hAnsi="Times New Roman"/>
          <w:b/>
          <w:color w:val="17365D"/>
          <w:sz w:val="36"/>
        </w:rPr>
        <w:t xml:space="preserve">Ebenezer J. Rolston</w:t>
      </w:r>
    </w:p>
    <w:p>
      <w:pPr>
        <w:jc w:val="center"/>
        <w:spacing w:before="0" w:after="30" w:line="240" w:lineRule="auto"/>
      </w:pPr>
      <w:r>
        <w:rPr>
          <w:rFonts w:ascii="Times New Roman" w:hAnsi="Times New Roman"/>
          <w:b/>
          <w:color w:val="17365D"/>
          <w:sz w:val="19"/>
        </w:rPr>
        <w:t xml:space="preserve">Identity Analytics • Customer Data Integration • Business Management System</w:t>
      </w:r>
    </w:p>
    <w:p>
      <w:pPr>
        <w:jc w:val="center"/>
        <w:spacing w:before="0" w:after="80" w:line="240" w:lineRule="auto"/>
      </w:pPr>
      <w:r>
        <w:rPr>
          <w:color w:val="1F1F1F"/>
          <w:sz w:val="18"/>
        </w:rPr>
        <w:t xml:space="preserve">Denver, CO • </w:t>
      </w:r>
      <w:r>
        <w:rPr>
          <w:color w:val="1F1F1F"/>
          <w:sz w:val="18"/>
        </w:rPr>
        <w:t xml:space="preserve">eberolston@yahoo.com</w:t>
      </w:r>
      <w:r>
        <w:rPr>
          <w:color w:val="1F1F1F"/>
          <w:sz w:val="18"/>
        </w:rPr>
        <w:t xml:space="preserve"> • 501-307-3237 • </w:t>
      </w:r>
      <w:hyperlink r:id="rIdHyperlink1">
        <w:r>
          <w:rPr>
            <w:b/>
            <w:color w:val="17365D"/>
            <w:sz w:val="18"/>
            <w:u w:val="single"/>
          </w:rPr>
          <w:t xml:space="preserve">LinkedIn</w:t>
        </w:r>
      </w:hyperlink>
      <w:r>
        <w:rPr>
          <w:color w:val="1F1F1F"/>
          <w:sz w:val="18"/>
        </w:rPr>
        <w:t xml:space="preserve"> • </w:t>
      </w:r>
      <w:hyperlink r:id="rIdHyperlink2">
        <w:r>
          <w:rPr>
            <w:b/>
            <w:color w:val="17365D"/>
            <w:sz w:val="18"/>
            <w:u w:val="single"/>
          </w:rPr>
          <w:t xml:space="preserve">GitHub</w:t>
        </w:r>
      </w:hyperlink>
      <w:r>
        <w:rPr>
          <w:color w:val="1F1F1F"/>
          <w:sz w:val="18"/>
        </w:rPr>
        <w:t xml:space="preserve"> • </w:t>
      </w:r>
      <w:hyperlink r:id="rIdHyperlink3">
        <w:r>
          <w:rPr>
            <w:b/>
            <w:color w:val="17365D"/>
            <w:sz w:val="18"/>
            <w:u w:val="single"/>
          </w:rPr>
          <w:t xml:space="preserve">AI Guardians</w:t>
        </w:r>
      </w:hyperlink>
    </w:p>
    <w:p>
      <w:pPr>
        <w:spacing w:before="100" w:after="40" w:line="240" w:lineRule="auto"/>
        <w:pBdr>
          <w:bottom w:val="single" w:sz="6" w:space="4" w:color="17365D"/>
        </w:pBdr>
      </w:pPr>
      <w:r>
        <w:rPr>
          <w:rFonts w:ascii="Times New Roman" w:hAnsi="Times New Roman"/>
          <w:b/>
          <w:color w:val="17365D"/>
          <w:sz w:val="20"/>
        </w:rPr>
        <w:t xml:space="preserve">PROFESSIONAL SUMMARY</w:t>
      </w:r>
    </w:p>
    <w:p>
      <w:pPr>
        <w:spacing w:before="40" w:after="40" w:line="240" w:lineRule="auto"/>
      </w:pPr>
      <w:r>
        <w:rPr>
          <w:color w:val="1F1F1F"/>
          <w:sz w:val="18"/>
        </w:rPr>
        <w:t xml:space="preserve">Enterprise Data and Identity Analytics professional and Solutions Architect with 20+ years of experience in customer data integration, enterprise systems modernization, business analytics, and data transformation. Brings 11 years of solutions engineering and architecture experience at Acxiom Corporation, developing real-time identity scoring, application verification, and customer data solutions for major financial services and insurance clients. Led enterprise data integration, reconciliation, and operational analytics initiatives supporting the U.S. Department of the Interior, including data conversions for 4 agencies.</w:t>
      </w:r>
    </w:p>
    <w:p>
      <w:pPr>
        <w:spacing w:before="0" w:after="30" w:line="240" w:lineRule="auto"/>
      </w:pPr>
      <w:r>
        <w:rPr>
          <w:color w:val="1F1F1F"/>
          <w:sz w:val="18"/>
        </w:rPr>
        <w:t xml:space="preserve">Combines this experience with recent hands-on AI engineering and workflow development, supported by a University of Denver graduate certificate in AI Strategy and a Harvard SEAS executive certificate in LLMs and Agentic AI.</w:t>
      </w:r>
    </w:p>
    <w:p>
      <w:pPr>
        <w:spacing w:before="0" w:after="60" w:line="240" w:lineRule="auto"/>
      </w:pPr>
      <w:r>
        <w:rPr>
          <w:b/>
          <w:i/>
          <w:color w:val="8B0000"/>
          <w:sz w:val="18"/>
        </w:rPr>
        <w:t xml:space="preserve">Winner of two Department of Interior Awards</w:t>
      </w:r>
    </w:p>
    <w:p>
      <w:pPr>
        <w:spacing w:before="100" w:after="40" w:line="240" w:lineRule="auto"/>
        <w:pBdr>
          <w:bottom w:val="single" w:sz="6" w:space="4" w:color="17365D"/>
        </w:pBdr>
      </w:pPr>
      <w:r>
        <w:rPr>
          <w:rFonts w:ascii="Times New Roman" w:hAnsi="Times New Roman"/>
          <w:b/>
          <w:color w:val="17365D"/>
          <w:sz w:val="20"/>
        </w:rPr>
        <w:t xml:space="preserve">CORE COMPETENCIES</w:t>
      </w:r>
    </w:p>
    <w:p>
      <w:pPr>
        <w:spacing w:before="30" w:after="60" w:line="240" w:lineRule="auto"/>
      </w:pPr>
      <w:r>
        <w:rPr>
          <w:color w:val="1F1F1F"/>
          <w:sz w:val="17"/>
        </w:rPr>
        <w:t xml:space="preserve">▪ Customer Data Integration &amp; Entity Resolution ▪ Identity Scoring Models &amp; Algorithmic Scoring ▪ Identity Data Quality, Profiling &amp; Hygiene ▪ Identity Match Reach &amp; Quality KPIs ▪ Relational Schema Design ▪ Advanced SQL ▪ Privacy, Regulatory &amp; AI Governance ▪ Python Data Analysis ▪ Enterprise ETL Architecture &amp; Conversion ▪ Automated Validation &amp; Testing ▪ Cross-Functional Stakeholder Relationship ▪ User Enablement &amp; Mentorship</w:t>
      </w:r>
    </w:p>
    <w:p>
      <w:pPr>
        <w:spacing w:before="100" w:after="40" w:line="240" w:lineRule="auto"/>
        <w:pBdr>
          <w:bottom w:val="single" w:sz="6" w:space="4" w:color="17365D"/>
        </w:pBdr>
      </w:pPr>
      <w:r>
        <w:rPr>
          <w:rFonts w:ascii="Times New Roman" w:hAnsi="Times New Roman"/>
          <w:b/>
          <w:color w:val="17365D"/>
          <w:sz w:val="20"/>
        </w:rPr>
        <w:t xml:space="preserve">PROFESSIONAL EXPERIENCE</w:t>
      </w:r>
    </w:p>
    <w:p>
      <w:pPr>
        <w:spacing w:before="40" w:after="10" w:line="240" w:lineRule="auto"/>
      </w:pPr>
      <w:r>
        <w:rPr>
          <w:b/>
          <w:color w:val="17365D"/>
          <w:sz w:val="18"/>
        </w:rPr>
        <w:t xml:space="preserve">AI Engineering | AI Guardians LLC </w:t>
      </w:r>
      <w:r>
        <w:rPr>
          <w:i/>
          <w:color w:val="17365D"/>
          <w:sz w:val="18"/>
        </w:rPr>
        <w:t xml:space="preserve">Denver, CO | Jan 2026–Present</w:t>
      </w:r>
    </w:p>
    <w:p>
      <w:pPr>
        <w:spacing w:before="0" w:after="20" w:line="240" w:lineRule="auto"/>
        <w:ind w:left="360" w:hanging="180"/>
      </w:pPr>
      <w:r>
        <w:rPr>
          <w:color w:val="1F1F1F"/>
          <w:sz w:val="18"/>
        </w:rPr>
        <w:t xml:space="preserve">• Created AI maturity assessments, multi-year roadmaps, ROI models.</w:t>
      </w:r>
    </w:p>
    <w:p>
      <w:pPr>
        <w:spacing w:before="0" w:after="40" w:line="240" w:lineRule="auto"/>
        <w:ind w:left="360" w:hanging="180"/>
      </w:pPr>
      <w:r>
        <w:rPr>
          <w:color w:val="1F1F1F"/>
          <w:sz w:val="18"/>
        </w:rPr>
        <w:t xml:space="preserve">• Designed AI transformation toolkit for AI Guardians, use-case prioritization canvases, Agentic NIST AI RMF governance scorecards.</w:t>
      </w:r>
    </w:p>
    <w:p>
      <w:pPr>
        <w:spacing w:before="40" w:after="10" w:line="240" w:lineRule="auto"/>
      </w:pPr>
      <w:r>
        <w:rPr>
          <w:b/>
          <w:color w:val="17365D"/>
          <w:sz w:val="18"/>
        </w:rPr>
        <w:t xml:space="preserve">Program Analyst, Acquisition Directorate | U.S. Department of the Interior, </w:t>
      </w:r>
      <w:r>
        <w:rPr>
          <w:i/>
          <w:color w:val="17365D"/>
          <w:sz w:val="18"/>
        </w:rPr>
        <w:t xml:space="preserve">Denver, CO | Jan–Sep 2025</w:t>
      </w:r>
    </w:p>
    <w:p>
      <w:pPr>
        <w:spacing w:before="0" w:after="20" w:line="240" w:lineRule="auto"/>
      </w:pPr>
      <w:r>
        <w:rPr>
          <w:i/>
          <w:color w:val="4A4A4A"/>
          <w:sz w:val="17"/>
        </w:rPr>
        <w:t xml:space="preserve">Cross-functional Analyst lead for Acquisition Directorate enterprise systems and business technology; GS-13</w:t>
      </w:r>
    </w:p>
    <w:p>
      <w:pPr>
        <w:spacing w:before="0" w:after="20" w:line="240" w:lineRule="auto"/>
        <w:ind w:left="360" w:hanging="180"/>
      </w:pPr>
      <w:r>
        <w:rPr>
          <w:color w:val="1F1F1F"/>
          <w:sz w:val="18"/>
        </w:rPr>
        <w:t xml:space="preserve">• Senior Analyst for Acquisition Directorate enterprise financial system, managing business workflow, assuring data integrity, and ensuring business &amp; functional reliability in federal environment.</w:t>
      </w:r>
    </w:p>
    <w:p>
      <w:pPr>
        <w:spacing w:before="0" w:after="20" w:line="240" w:lineRule="auto"/>
        <w:ind w:left="360" w:hanging="180"/>
      </w:pPr>
      <w:r>
        <w:rPr>
          <w:color w:val="1F1F1F"/>
          <w:sz w:val="18"/>
        </w:rPr>
        <w:t xml:space="preserve">• Resolved client &amp; platform vendor defects and contractual billing disputes.</w:t>
      </w:r>
    </w:p>
    <w:p>
      <w:pPr>
        <w:spacing w:before="0" w:after="40" w:line="240" w:lineRule="auto"/>
        <w:ind w:left="360" w:hanging="180"/>
      </w:pPr>
      <w:r>
        <w:rPr>
          <w:color w:val="1F1F1F"/>
          <w:sz w:val="18"/>
        </w:rPr>
        <w:t xml:space="preserve">• Triaged enterprise system defects.</w:t>
      </w:r>
    </w:p>
    <w:p>
      <w:pPr>
        <w:spacing w:before="40" w:after="10" w:line="240" w:lineRule="auto"/>
      </w:pPr>
      <w:r>
        <w:rPr>
          <w:b/>
          <w:color w:val="17365D"/>
          <w:sz w:val="18"/>
        </w:rPr>
        <w:t xml:space="preserve">Senior Analyst Consultant | ARK Solutions — Client : IBC Acquisition Directorate </w:t>
      </w:r>
      <w:r>
        <w:rPr>
          <w:i/>
          <w:color w:val="17365D"/>
          <w:sz w:val="18"/>
        </w:rPr>
        <w:t xml:space="preserve">Denver, CO | 2011–2025</w:t>
      </w:r>
    </w:p>
    <w:p>
      <w:pPr>
        <w:spacing w:before="0" w:after="20" w:line="240" w:lineRule="auto"/>
      </w:pPr>
      <w:r>
        <w:rPr>
          <w:i/>
          <w:color w:val="4A4A4A"/>
          <w:sz w:val="17"/>
        </w:rPr>
        <w:t xml:space="preserve">14-year enterprise business support, data migration, vendor support &amp; client training</w:t>
      </w:r>
    </w:p>
    <w:p>
      <w:pPr>
        <w:spacing w:before="0" w:after="20" w:line="240" w:lineRule="auto"/>
        <w:ind w:left="360" w:hanging="180"/>
      </w:pPr>
      <w:r>
        <w:rPr>
          <w:color w:val="1F1F1F"/>
          <w:sz w:val="18"/>
        </w:rPr>
        <w:t xml:space="preserve">• Department ETL Architect for the FBMS enterprise data conversion for 4 agencies, migrating, cleansing, and validating bureau databases into SAP S/4.</w:t>
      </w:r>
    </w:p>
    <w:p>
      <w:pPr>
        <w:spacing w:before="0" w:after="20" w:line="240" w:lineRule="auto"/>
        <w:ind w:left="360" w:hanging="180"/>
      </w:pPr>
      <w:r>
        <w:rPr>
          <w:color w:val="1F1F1F"/>
          <w:sz w:val="18"/>
        </w:rPr>
        <w:t xml:space="preserve">• Served as Senior escalation lead handling enterprise incidents and Aviation payment negotiations</w:t>
      </w:r>
    </w:p>
    <w:p>
      <w:pPr>
        <w:spacing w:before="0" w:after="20" w:line="240" w:lineRule="auto"/>
        <w:ind w:left="360" w:hanging="180"/>
      </w:pPr>
      <w:r>
        <w:rPr>
          <w:color w:val="1F1F1F"/>
          <w:sz w:val="18"/>
        </w:rPr>
        <w:t xml:space="preserve">• Member of DOI Special Interest Group - FPDS reporting, Exemption &amp; security compliance</w:t>
      </w:r>
    </w:p>
    <w:p>
      <w:pPr>
        <w:spacing w:before="0" w:after="20" w:line="240" w:lineRule="auto"/>
        <w:ind w:left="360" w:hanging="180"/>
      </w:pPr>
      <w:r>
        <w:rPr>
          <w:color w:val="1F1F1F"/>
          <w:sz w:val="18"/>
        </w:rPr>
        <w:t xml:space="preserve">• Implemented framework to resolve financial discrepancies through realignment process</w:t>
      </w:r>
    </w:p>
    <w:p>
      <w:pPr>
        <w:spacing w:before="0" w:after="20" w:line="240" w:lineRule="auto"/>
        <w:ind w:left="360" w:hanging="180"/>
      </w:pPr>
      <w:r>
        <w:rPr>
          <w:color w:val="1F1F1F"/>
          <w:sz w:val="18"/>
        </w:rPr>
        <w:t xml:space="preserve">• PRISM system administration, role-based access, procurement compliance, schema updates.</w:t>
      </w:r>
    </w:p>
    <w:p>
      <w:pPr>
        <w:spacing w:before="0" w:after="20" w:line="240" w:lineRule="auto"/>
        <w:ind w:left="360" w:hanging="180"/>
      </w:pPr>
      <w:r>
        <w:rPr>
          <w:color w:val="1F1F1F"/>
          <w:sz w:val="18"/>
        </w:rPr>
        <w:t xml:space="preserve">• Delivered agency-wide cohort enablement and client system training.</w:t>
      </w:r>
    </w:p>
    <w:p>
      <w:pPr>
        <w:spacing w:before="0" w:after="20" w:line="240" w:lineRule="auto"/>
        <w:ind w:left="360" w:hanging="180"/>
      </w:pPr>
      <w:r>
        <w:rPr>
          <w:color w:val="1F1F1F"/>
          <w:sz w:val="18"/>
        </w:rPr>
        <w:t xml:space="preserve">• Performed DataAct Audit Analytics</w:t>
      </w:r>
    </w:p>
    <w:p>
      <w:pPr>
        <w:spacing w:before="40" w:after="10" w:line="240" w:lineRule="auto"/>
      </w:pPr>
      <w:r>
        <w:rPr>
          <w:b/>
          <w:color w:val="17365D"/>
          <w:sz w:val="18"/>
        </w:rPr>
        <w:t xml:space="preserve">Solutions Developer / Architect | Acxiom Corporation </w:t>
      </w:r>
      <w:r>
        <w:rPr>
          <w:i/>
          <w:color w:val="17365D"/>
          <w:sz w:val="18"/>
        </w:rPr>
        <w:t xml:space="preserve">Little Rock, AR | 1999–2009</w:t>
      </w:r>
    </w:p>
    <w:p>
      <w:pPr>
        <w:spacing w:before="0" w:after="20" w:line="240" w:lineRule="auto"/>
      </w:pPr>
      <w:r>
        <w:rPr>
          <w:i/>
          <w:color w:val="4A4A4A"/>
          <w:sz w:val="17"/>
        </w:rPr>
        <w:t xml:space="preserve">Identity resolution, predictive scoring algorithms, and relational data warehousing; foundation of LiveRamp</w:t>
      </w:r>
    </w:p>
    <w:p>
      <w:pPr>
        <w:spacing w:before="0" w:after="20" w:line="240" w:lineRule="auto"/>
        <w:ind w:left="360" w:hanging="180"/>
      </w:pPr>
      <w:r>
        <w:rPr>
          <w:color w:val="1F1F1F"/>
          <w:sz w:val="18"/>
        </w:rPr>
        <w:t xml:space="preserve">• Worked with commercial enterprise clients (Citibank, GE Money, ChoicePoint, Allstate) deploying customer verification pipeline and marketing data solutions.</w:t>
      </w:r>
    </w:p>
    <w:p>
      <w:pPr>
        <w:spacing w:before="0" w:after="20" w:line="240" w:lineRule="auto"/>
        <w:ind w:left="360" w:hanging="180"/>
      </w:pPr>
      <w:r>
        <w:rPr>
          <w:color w:val="1F1F1F"/>
          <w:sz w:val="18"/>
        </w:rPr>
        <w:t xml:space="preserve">• Built and supported customer recognition, precision marketing and cross-selling solutions</w:t>
      </w:r>
    </w:p>
    <w:p>
      <w:pPr>
        <w:spacing w:before="0" w:after="20" w:line="240" w:lineRule="auto"/>
        <w:ind w:left="360" w:hanging="180"/>
      </w:pPr>
      <w:r>
        <w:rPr>
          <w:color w:val="1F1F1F"/>
          <w:sz w:val="18"/>
        </w:rPr>
        <w:t xml:space="preserve">• Built Citibank's online identity scoring model, real-time scoring algorithms for fraud prevention.</w:t>
      </w:r>
    </w:p>
    <w:p>
      <w:pPr>
        <w:spacing w:before="0" w:after="20" w:line="240" w:lineRule="auto"/>
        <w:ind w:left="360" w:hanging="180"/>
      </w:pPr>
      <w:r>
        <w:rPr>
          <w:color w:val="1F1F1F"/>
          <w:sz w:val="18"/>
        </w:rPr>
        <w:t xml:space="preserve">• Provided business and technical support for Application Verification System, SLA compliance</w:t>
      </w:r>
    </w:p>
    <w:p>
      <w:pPr>
        <w:spacing w:before="0" w:after="20" w:line="240" w:lineRule="auto"/>
        <w:ind w:left="360" w:hanging="180"/>
      </w:pPr>
      <w:r>
        <w:rPr>
          <w:color w:val="1F1F1F"/>
          <w:sz w:val="18"/>
        </w:rPr>
        <w:t xml:space="preserve">• SME on the Software Methodology Board, established SDLC governance.</w:t>
      </w:r>
    </w:p>
    <w:p>
      <w:pPr>
        <w:spacing w:before="100" w:after="40" w:line="240" w:lineRule="auto"/>
        <w:pBdr>
          <w:bottom w:val="single" w:sz="6" w:space="4" w:color="17365D"/>
        </w:pBdr>
      </w:pPr>
      <w:r>
        <w:rPr>
          <w:rFonts w:ascii="Times New Roman" w:hAnsi="Times New Roman"/>
          <w:b/>
          <w:color w:val="17365D"/>
          <w:sz w:val="20"/>
        </w:rPr>
        <w:t xml:space="preserve">AI Engineering Portfolio</w:t>
      </w:r>
    </w:p>
    <w:p>
      <w:pPr>
        <w:spacing w:before="30" w:after="10" w:line="240" w:lineRule="auto"/>
      </w:pPr>
      <w:r>
        <w:rPr>
          <w:b/>
          <w:color w:val="17365D"/>
          <w:sz w:val="18"/>
        </w:rPr>
        <w:t xml:space="preserve">Trading Copilot — Governed Multi-Agent Research Platform </w:t>
      </w:r>
      <w:r>
        <w:rPr>
          <w:i/>
          <w:color w:val="4A4A4A"/>
          <w:sz w:val="17"/>
        </w:rPr>
        <w:t xml:space="preserve">AI in Finance Nicole Koenigstein 2026</w:t>
      </w:r>
    </w:p>
    <w:p>
      <w:pPr>
        <w:spacing w:before="0" w:after="30" w:line="240" w:lineRule="auto"/>
        <w:ind w:left="360" w:hanging="180"/>
      </w:pPr>
      <w:r>
        <w:rPr>
          <w:color w:val="1F1F1F"/>
          <w:sz w:val="18"/>
        </w:rPr>
        <w:t xml:space="preserve">• Architected multi-agent equities research pipelines with supervisory layer, automated risk verification and deterministic execution bounds.</w:t>
      </w:r>
    </w:p>
    <w:p>
      <w:pPr>
        <w:spacing w:before="30" w:after="10" w:line="240" w:lineRule="auto"/>
      </w:pPr>
      <w:r>
        <w:rPr>
          <w:b/>
          <w:color w:val="17365D"/>
          <w:sz w:val="18"/>
        </w:rPr>
        <w:t xml:space="preserve">Rental Housing Law Navigator — Regulatory Decision-Support Application </w:t>
      </w:r>
      <w:r>
        <w:rPr>
          <w:i/>
          <w:color w:val="4A4A4A"/>
          <w:sz w:val="17"/>
        </w:rPr>
        <w:t xml:space="preserve">Global AI Hackathon 2026</w:t>
      </w:r>
    </w:p>
    <w:p>
      <w:pPr>
        <w:spacing w:before="0" w:after="30" w:line="240" w:lineRule="auto"/>
        <w:ind w:left="360" w:hanging="180"/>
      </w:pPr>
      <w:r>
        <w:rPr>
          <w:color w:val="1F1F1F"/>
          <w:sz w:val="18"/>
        </w:rPr>
        <w:t xml:space="preserve">• Engineered full-stack regulatory decision application linking Lovable frontend, Google Cloud Run, Python/FastAPI backend.</w:t>
      </w:r>
    </w:p>
    <w:p>
      <w:pPr>
        <w:spacing w:before="30" w:after="10" w:line="240" w:lineRule="auto"/>
      </w:pPr>
      <w:r>
        <w:rPr>
          <w:b/>
          <w:color w:val="17365D"/>
          <w:sz w:val="18"/>
        </w:rPr>
        <w:t xml:space="preserve">AI Incident Monitor — AI Risk Intelligence Platform </w:t>
      </w:r>
      <w:r>
        <w:rPr>
          <w:i/>
          <w:color w:val="4A4A4A"/>
          <w:sz w:val="17"/>
        </w:rPr>
        <w:t xml:space="preserve">AI Guardians LLC | 2026</w:t>
      </w:r>
    </w:p>
    <w:p>
      <w:pPr>
        <w:spacing w:before="0" w:after="30" w:line="240" w:lineRule="auto"/>
        <w:ind w:left="360" w:hanging="180"/>
      </w:pPr>
      <w:r>
        <w:rPr>
          <w:color w:val="1F1F1F"/>
          <w:sz w:val="18"/>
        </w:rPr>
        <w:t xml:space="preserve">• Architected Explainable AI incident severity scoring and compliance taxonomy mapping based on NIST AI RMF 1.0</w:t>
      </w:r>
    </w:p>
    <w:p>
      <w:pPr>
        <w:spacing w:before="30" w:after="10" w:line="240" w:lineRule="auto"/>
      </w:pPr>
      <w:r>
        <w:rPr>
          <w:b/>
          <w:color w:val="17365D"/>
          <w:sz w:val="18"/>
        </w:rPr>
        <w:t xml:space="preserve">Multimodal Document Intelligence — Auditable Data Extraction Pipeline </w:t>
      </w:r>
      <w:r>
        <w:rPr>
          <w:i/>
          <w:color w:val="4A4A4A"/>
          <w:sz w:val="17"/>
        </w:rPr>
        <w:t xml:space="preserve">Stanford | 2026</w:t>
      </w:r>
    </w:p>
    <w:p>
      <w:pPr>
        <w:spacing w:before="0" w:after="15" w:line="240" w:lineRule="auto"/>
        <w:ind w:left="360" w:hanging="180"/>
      </w:pPr>
      <w:r>
        <w:rPr>
          <w:color w:val="1F1F1F"/>
          <w:sz w:val="18"/>
        </w:rPr>
        <w:t xml:space="preserve">• Built an auditable document intelligence pipeline using LangGraph StateGraph &amp; OCR parsing.</w:t>
      </w:r>
    </w:p>
    <w:p>
      <w:pPr>
        <w:spacing w:before="0" w:after="40" w:line="240" w:lineRule="auto"/>
        <w:ind w:left="360" w:hanging="180"/>
      </w:pPr>
      <w:r>
        <w:rPr>
          <w:color w:val="1F1F1F"/>
          <w:sz w:val="18"/>
        </w:rPr>
        <w:t xml:space="preserve">• Enforced Pydantic contract validation, confidence scoring, and semantic retrieval.</w:t>
      </w:r>
    </w:p>
    <w:p>
      <w:pPr>
        <w:spacing w:before="100" w:after="40" w:line="240" w:lineRule="auto"/>
        <w:pBdr>
          <w:bottom w:val="single" w:sz="6" w:space="4" w:color="17365D"/>
        </w:pBdr>
      </w:pPr>
      <w:r>
        <w:rPr>
          <w:rFonts w:ascii="Times New Roman" w:hAnsi="Times New Roman"/>
          <w:b/>
          <w:color w:val="17365D"/>
          <w:sz w:val="20"/>
        </w:rPr>
        <w:t xml:space="preserve">EDUCATION &amp; PROFESSIONAL DEVELOPMENT</w:t>
      </w:r>
    </w:p>
    <w:p>
      <w:pPr>
        <w:spacing w:before="0" w:after="15" w:line="240" w:lineRule="auto"/>
      </w:pPr>
      <w:r>
        <w:rPr>
          <w:b/>
          <w:color w:val="17365D"/>
          <w:sz w:val="18"/>
        </w:rPr>
        <w:t xml:space="preserve">UC Berkeley Extension: </w:t>
      </w:r>
      <w:r>
        <w:rPr>
          <w:color w:val="1F1F1F"/>
          <w:sz w:val="18"/>
        </w:rPr>
        <w:t xml:space="preserve">Machine Learning and Deep Learning.</w:t>
      </w:r>
    </w:p>
    <w:p>
      <w:pPr>
        <w:spacing w:before="0" w:after="15" w:line="240" w:lineRule="auto"/>
      </w:pPr>
      <w:r>
        <w:rPr>
          <w:b/>
          <w:color w:val="17365D"/>
          <w:sz w:val="18"/>
        </w:rPr>
        <w:t xml:space="preserve">University of Denver : </w:t>
      </w:r>
      <w:r>
        <w:rPr>
          <w:color w:val="1F1F1F"/>
          <w:sz w:val="18"/>
        </w:rPr>
        <w:t xml:space="preserve">Graduate Certificate, AI Strategy &amp; Applications in IT</w:t>
      </w:r>
    </w:p>
    <w:p>
      <w:pPr>
        <w:spacing w:before="0" w:after="15" w:line="240" w:lineRule="auto"/>
      </w:pPr>
      <w:r>
        <w:rPr>
          <w:b/>
          <w:color w:val="17365D"/>
          <w:sz w:val="18"/>
        </w:rPr>
        <w:t xml:space="preserve">Stanford Continuing Studies: </w:t>
      </w:r>
      <w:r>
        <w:rPr>
          <w:color w:val="1F1F1F"/>
          <w:sz w:val="18"/>
        </w:rPr>
        <w:t xml:space="preserve">Data Analysis with Python • Modern AI Architectures • AI Accountability</w:t>
      </w:r>
    </w:p>
    <w:p>
      <w:pPr>
        <w:spacing w:before="0" w:after="15" w:line="240" w:lineRule="auto"/>
      </w:pPr>
      <w:r>
        <w:rPr>
          <w:b/>
          <w:color w:val="17365D"/>
          <w:sz w:val="18"/>
        </w:rPr>
        <w:t xml:space="preserve">Harvard John A. Paulson SEAS: </w:t>
      </w:r>
      <w:r>
        <w:rPr>
          <w:color w:val="1F1F1F"/>
          <w:sz w:val="18"/>
        </w:rPr>
        <w:t xml:space="preserve">Executive Certificate — LLMs: Transformer to Agentic AI</w:t>
      </w:r>
    </w:p>
    <w:p>
      <w:pPr>
        <w:spacing w:before="0" w:after="15" w:line="240" w:lineRule="auto"/>
      </w:pPr>
      <w:r>
        <w:rPr>
          <w:b/>
          <w:color w:val="17365D"/>
          <w:sz w:val="18"/>
        </w:rPr>
        <w:t xml:space="preserve">M.S. &amp; B.S., Computer Science: </w:t>
      </w:r>
      <w:r>
        <w:rPr>
          <w:color w:val="1F1F1F"/>
          <w:sz w:val="18"/>
        </w:rPr>
        <w:t xml:space="preserve">St. Joseph's College</w:t>
      </w:r>
    </w:p>
    <w:p>
      <w:pPr>
        <w:spacing w:before="0" w:after="15" w:line="240" w:lineRule="auto"/>
      </w:pPr>
      <w:r>
        <w:rPr>
          <w:b/>
          <w:color w:val="17365D"/>
          <w:sz w:val="18"/>
        </w:rPr>
        <w:t xml:space="preserve">Honors &amp; Awards: </w:t>
      </w:r>
      <w:r>
        <w:rPr>
          <w:color w:val="1F1F1F"/>
          <w:sz w:val="18"/>
        </w:rPr>
        <w:t xml:space="preserve">Interior Business Center Award for Excellence • DOI FBMS Special Recognition</w:t>
      </w:r>
    </w:p>
    <w:p>
      <w:pPr>
        <w:spacing w:before="0" w:after="15" w:line="240" w:lineRule="auto"/>
      </w:pPr>
      <w:r>
        <w:rPr>
          <w:b/>
          <w:color w:val="17365D"/>
          <w:sz w:val="18"/>
        </w:rPr>
        <w:t xml:space="preserve">AI Tech and Privacy Academy: </w:t>
      </w:r>
      <w:r>
        <w:rPr>
          <w:color w:val="1F1F1F"/>
          <w:sz w:val="18"/>
        </w:rPr>
        <w:t xml:space="preserve">AI Governance &amp; Privacy Frameworks</w:t>
      </w:r>
    </w:p>
    <w:p>
      <w:pPr>
        <w:spacing w:before="100" w:after="40" w:line="240" w:lineRule="auto"/>
        <w:pBdr>
          <w:bottom w:val="single" w:sz="6" w:space="4" w:color="17365D"/>
        </w:pBdr>
      </w:pPr>
      <w:r>
        <w:rPr>
          <w:rFonts w:ascii="Times New Roman" w:hAnsi="Times New Roman"/>
          <w:b/>
          <w:color w:val="17365D"/>
          <w:sz w:val="20"/>
        </w:rPr>
        <w:t xml:space="preserve">TECHNICAL PROFICIENCIES</w:t>
      </w:r>
    </w:p>
    <w:p>
      <w:pPr>
        <w:spacing w:before="0" w:after="20" w:line="240" w:lineRule="auto"/>
      </w:pPr>
      <w:r>
        <w:rPr>
          <w:b/>
          <w:color w:val="17365D"/>
          <w:sz w:val="18"/>
        </w:rPr>
        <w:t xml:space="preserve">Identity Analytics &amp; Predictive Systems: </w:t>
      </w:r>
      <w:r>
        <w:rPr>
          <w:color w:val="1F1F1F"/>
          <w:sz w:val="18"/>
        </w:rPr>
        <w:t xml:space="preserve">Customer Data Integration • Identity Resolution &amp; Entity Matching • Real-Time Identity Scoring • Algorithmic Scoring Models • Predictive Cross-Sell Models • Deep Learning &amp; Neural Networks</w:t>
      </w:r>
    </w:p>
    <w:p>
      <w:pPr>
        <w:spacing w:before="0" w:after="20" w:line="240" w:lineRule="auto"/>
      </w:pPr>
      <w:r>
        <w:rPr>
          <w:b/>
          <w:color w:val="17365D"/>
          <w:sz w:val="18"/>
        </w:rPr>
        <w:t xml:space="preserve">Data Engineering &amp; Big Data Platforms: </w:t>
      </w:r>
      <w:r>
        <w:rPr>
          <w:color w:val="1F1F1F"/>
          <w:sz w:val="18"/>
        </w:rPr>
        <w:t xml:space="preserve">Acxiom Hive, AbiliTec Links, Apache Spark • Oracle, PostgreSQL, SQL Server • ETL/ELT Architectures • Relational Data Modeling • Schema Normalization • Data Quality, Deduplication &amp; Profiling</w:t>
      </w:r>
    </w:p>
    <w:p>
      <w:pPr>
        <w:spacing w:before="0" w:after="20" w:line="240" w:lineRule="auto"/>
      </w:pPr>
      <w:r>
        <w:rPr>
          <w:b/>
          <w:color w:val="17365D"/>
          <w:sz w:val="18"/>
        </w:rPr>
        <w:t xml:space="preserve">Software Engineering &amp; Analytical Workflows: </w:t>
      </w:r>
      <w:r>
        <w:rPr>
          <w:color w:val="1F1F1F"/>
          <w:sz w:val="18"/>
        </w:rPr>
        <w:t xml:space="preserve">Python • pandas &amp; NumPy • FastAPI • Pydantic • SQLAlchemy • RESTful API Contracts • JSON Schema • pytest • GitHub • Cloud Deployment (Google Cloud Run, Vercel)</w:t>
      </w:r>
    </w:p>
    <w:p>
      <w:pPr>
        <w:spacing w:before="0" w:after="20" w:line="240" w:lineRule="auto"/>
      </w:pPr>
      <w:r>
        <w:rPr>
          <w:b/>
          <w:color w:val="17365D"/>
          <w:sz w:val="18"/>
        </w:rPr>
        <w:t xml:space="preserve">Enterprise Platforms, Privacy &amp; Governance: </w:t>
      </w:r>
      <w:r>
        <w:rPr>
          <w:color w:val="1F1F1F"/>
          <w:sz w:val="18"/>
        </w:rPr>
        <w:t xml:space="preserve">SAP S/4HANA Federal Business Management System • Unison PRISM • Remedy</w:t>
      </w:r>
    </w:p>
    <w:p>
      <w:pPr>
        <w:spacing w:before="0" w:after="20" w:line="240" w:lineRule="auto"/>
      </w:pPr>
      <w:r>
        <w:rPr>
          <w:b/>
          <w:color w:val="17365D"/>
          <w:sz w:val="18"/>
        </w:rPr>
        <w:t xml:space="preserve">AI Engineering &amp; LLMOps: </w:t>
      </w:r>
      <w:r>
        <w:rPr>
          <w:color w:val="1F1F1F"/>
          <w:sz w:val="18"/>
        </w:rPr>
        <w:t xml:space="preserve">Agentic AI Workflows • Retrieval-Augmented Generation • LLM Evaluation &amp; Observability • Context Management • AI Governance &amp; Responsible AI • NIST AI RMF 1.0 • Semantic Modeling &amp; Ontology Design • Qdrant Vector Search • Codex, Antigravity, Cursor, OpenAI</w:t>
      </w:r>
    </w:p>
    <w:sectPr>
      <w:pgSz w:w="12240" w:h="15840"/>
      <w:pgMar w:top="720" w:right="893" w:bottom="720" w:left="893" w:header="720" w:footer="720" w:gutter="0"/>
    </w:sectPr>
  </w:body>
</w:document>
</file>

<file path=word/styles.xml><?xml version="1.0" encoding="utf-8"?>
<w:styles xmlns:w="http://schemas.openxmlformats.org/wordprocessingml/2006/main">
  <w:docDefaults>
    <w:rPrDefault>
      <w:rPr>
        <w:rFonts w:ascii="Times New Roman" w:hAnsi="Times New Roman" w:cs="Times New Roman"/>
        <w:sz w:val="20"/>
        <w:color w:val="1F1F1F"/>
      </w:rPr>
    </w:rPrDefault>
  </w:docDefaults>
</w:styles>
</file>

<file path=word/_rels/document.xml.rels><?xml version="1.0" encoding="UTF-8" standalone="yes"?>
<Relationships xmlns="http://schemas.openxmlformats.org/package/2006/relationships">
  <Relationship Id="rIdHyperlink1" Type="http://schemas.openxmlformats.org/officeDocument/2006/relationships/hyperlink" Target="https://www.linkedin.com/in/ebenezer-rolston/" TargetMode="External"/>
  <Relationship Id="rIdHyperlink2" Type="http://schemas.openxmlformats.org/officeDocument/2006/relationships/hyperlink" Target="https://github.com/EbeDenver" TargetMode="External"/>
  <Relationship Id="rIdHyperlink3" Type="http://schemas.openxmlformats.org/officeDocument/2006/relationships/hyperlink" Target="https://portal.aiguardiansllc.us/" TargetMode="External"/>
</Relationships>
</file>