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Guide &amp; STAR Defense Talking Points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Accenture Federal Services — Senior Business / AI Transformation Analyst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Targeting: Partner / Managing Director &amp; Practice Lead Interviews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30-SECOND ELEVATOR PITCH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"I am a Senior Business and AI Transformation Analyst who bridges 20 years of enterprise data architecture and federal systems leadership with cutting-edge AI strategy. For 14 years at the Department of the Interior, I led GS-13-level contracting system operations, architected the Department-wide FBMS data conversion across 12 bureau databases, and reclaimed over $1M annually in contract funds. Combined with a University of Denver Graduate Certificate in AI Strategy and published research on AI in federal contracting, I help federal agencies move from conceptual AI buzzwords to compliant, high-ROI operational adoption."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CORE STAR STORIES TAILORED FOR AFS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STAR Story 1: Enterprise Federal Data Transformation (DOI FBMS)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Situation: The Department of the Interior needed to retire 12 disparate legacy systems into a unified SAP S/4 platform.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Task: As ETL Architect, ensure zero data loss, maintain audit trails, and map millions of transactional records.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Action: Designed automated extraction, transformation, and validation routines with robust error reconciliation.</w:t>
      </w:r>
    </w:p>
    <w:p>
      <w:pPr>
        <w:spacing w:before="0" w:after="60" w:line="240" w:lineRule="auto"/>
      </w:pPr>
      <w:r>
        <w:rPr>
          <w:b/>
          <w:color w:val="008000"/>
          <w:sz w:val="18"/>
        </w:rPr>
        <w:t xml:space="preserve">• Result: Awarded 2 Interior Department awards for excellence; delivered on schedule with flawless post-migration integrity.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STAR Story 2: AI Strategy &amp; Risk Governance (Mile High Logistics &amp; Healthcare LLM)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Situation: Enterprise organizations struggle with AI adoption due to compliance uncertainty and unclear ROI.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Task: Structure an actionable 3-year AI roadmap and multi-dimensional risk framework.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• Action: Evaluated 6 risk dimensions (HIPAA, bias, prompt injection, hallucinations), mapped NIST AI RMF controls, and built financial ROI business cases.</w:t>
      </w:r>
    </w:p>
    <w:p>
      <w:pPr>
        <w:spacing w:before="0" w:after="60" w:line="240" w:lineRule="auto"/>
      </w:pPr>
      <w:r>
        <w:rPr>
          <w:b/>
          <w:color w:val="008000"/>
          <w:sz w:val="18"/>
        </w:rPr>
        <w:t xml:space="preserve">• Result: Delivered executive-ready board presentations enabling leadership to prioritize safe, high-value AI investments.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