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40" w:lineRule="auto"/>
      </w:pPr>
      <w:r>
        <w:rPr>
          <w:b/>
          <w:color w:val="17365D"/>
          <w:sz w:val="24"/>
        </w:rPr>
        <w:t xml:space="preserve">Skill Gap Analysis: Business Process Technology Senior Analyst — Black &amp; Veatch</w:t>
      </w:r>
    </w:p>
    <w:p>
      <w:pPr>
        <w:spacing w:before="0" w:after="100" w:line="240" w:lineRule="auto"/>
        <w:pBdr>
          <w:bottom w:val="single" w:sz="6" w:space="4" w:color="17365D"/>
        </w:pBdr>
      </w:pPr>
      <w:r>
        <w:rPr>
          <w:b/>
          <w:color w:val="17365D"/>
          <w:sz w:val="19"/>
        </w:rPr>
        <w:t xml:space="preserve">Candidate: Ebenezer J. Rolston • Match Score: 85/100 • Interview Probability: 82/100 • Location: Greenwood Village, CO</w:t>
      </w:r>
    </w:p>
    <w:p>
      <w:pPr>
        <w:spacing w:before="100" w:after="40" w:line="240" w:lineRule="auto"/>
        <w:pBdr>
          <w:bottom w:val="single" w:sz="6" w:space="4" w:color="17365D"/>
        </w:pBdr>
      </w:pPr>
      <w:r>
        <w:rPr>
          <w:b/>
          <w:color w:val="17365D"/>
          <w:sz w:val="20"/>
        </w:rPr>
        <w:t xml:space="preserve">1. FIT SUMMARY</w:t>
      </w:r>
    </w:p>
    <w:p>
      <w:pPr>
        <w:spacing w:before="0" w:after="100" w:line="240" w:lineRule="auto"/>
      </w:pPr>
      <w:r>
        <w:rPr>
          <w:color w:val="1F1F1F"/>
          <w:sz w:val="19"/>
        </w:rPr>
        <w:t xml:space="preserve">Ebenezer J. Rolston offers 20+ years of senior business process analysis, requirements translation, and data solution delivery experience. His demonstrated capability building Power BI and Tableau operational reports, architecting enterprise data conversions (12 legacy databases to ERP), training 85+ cohort users, and applying University of Denver AI Strategy frameworks aligns strongly with Black &amp; Veatch's Business Process Technology Senior Analyst mandate in Greenwood Village, CO.</w:t>
      </w:r>
    </w:p>
    <w:p>
      <w:pPr>
        <w:spacing w:before="100" w:after="40" w:line="240" w:lineRule="auto"/>
        <w:pBdr>
          <w:bottom w:val="single" w:sz="6" w:space="4" w:color="17365D"/>
        </w:pBdr>
      </w:pPr>
      <w:r>
        <w:rPr>
          <w:b/>
          <w:color w:val="17365D"/>
          <w:sz w:val="20"/>
        </w:rPr>
        <w:t xml:space="preserve">2. SKILL MATCH MATRIX</w:t>
      </w:r>
    </w:p>
    <w:p>
      <w:pPr>
        <w:spacing w:before="0" w:after="40" w:line="240" w:lineRule="auto"/>
      </w:pPr>
      <w:r>
        <w:rPr>
          <w:b/>
          <w:color w:val="008000"/>
          <w:sz w:val="18"/>
        </w:rPr>
        <w:t xml:space="preserve">• Business Process &amp; Requirements Analysis: </w:t>
      </w:r>
      <w:r>
        <w:rPr>
          <w:color w:val="1F1F1F"/>
          <w:sz w:val="18"/>
        </w:rPr>
        <w:t xml:space="preserve">Matched (Direct Evidence - 20+ years across DOI FBMS &amp; Acxiom SDLC Board)</w:t>
      </w:r>
    </w:p>
    <w:p>
      <w:pPr>
        <w:spacing w:before="0" w:after="40" w:line="240" w:lineRule="auto"/>
      </w:pPr>
      <w:r>
        <w:rPr>
          <w:b/>
          <w:color w:val="008000"/>
          <w:sz w:val="18"/>
        </w:rPr>
        <w:t xml:space="preserve">• SQL &amp; Relational Database Concepts: </w:t>
      </w:r>
      <w:r>
        <w:rPr>
          <w:color w:val="1F1F1F"/>
          <w:sz w:val="18"/>
        </w:rPr>
        <w:t xml:space="preserve">Matched (Direct Evidence - SQL, Oracle PL/SQL, ETL data pipelines, star schemas)</w:t>
      </w:r>
    </w:p>
    <w:p>
      <w:pPr>
        <w:spacing w:before="0" w:after="40" w:line="240" w:lineRule="auto"/>
      </w:pPr>
      <w:r>
        <w:rPr>
          <w:b/>
          <w:color w:val="008000"/>
          <w:sz w:val="18"/>
        </w:rPr>
        <w:t xml:space="preserve">• Power BI &amp; Operational Dashboards: </w:t>
      </w:r>
      <w:r>
        <w:rPr>
          <w:color w:val="1F1F1F"/>
          <w:sz w:val="18"/>
        </w:rPr>
        <w:t xml:space="preserve">Matched (Direct Evidence - Built Power BI status/invoice reports &amp; Tableau calculated fields)</w:t>
      </w:r>
    </w:p>
    <w:p>
      <w:pPr>
        <w:spacing w:before="0" w:after="40" w:line="240" w:lineRule="auto"/>
      </w:pPr>
      <w:r>
        <w:rPr>
          <w:b/>
          <w:color w:val="008000"/>
          <w:sz w:val="18"/>
        </w:rPr>
        <w:t xml:space="preserve">• User Enablement &amp; Training: </w:t>
      </w:r>
      <w:r>
        <w:rPr>
          <w:color w:val="1F1F1F"/>
          <w:sz w:val="18"/>
        </w:rPr>
        <w:t xml:space="preserve">Matched (Direct Evidence - Trained 85+ users; measurably lowered Remedy helpdesk tickets)</w:t>
      </w:r>
    </w:p>
    <w:p>
      <w:pPr>
        <w:spacing w:before="0" w:after="40" w:line="240" w:lineRule="auto"/>
      </w:pPr>
      <w:r>
        <w:rPr>
          <w:b/>
          <w:color w:val="008000"/>
          <w:sz w:val="18"/>
        </w:rPr>
        <w:t xml:space="preserve">• Emerging Technology &amp; AI Fluency: </w:t>
      </w:r>
      <w:r>
        <w:rPr>
          <w:color w:val="1F1F1F"/>
          <w:sz w:val="18"/>
        </w:rPr>
        <w:t xml:space="preserve">Matched (Graduate Portfolio - DU AI Strategy Certificate, AI planning tools, Copilot user)</w:t>
      </w:r>
    </w:p>
    <w:p>
      <w:pPr>
        <w:spacing w:before="0" w:after="40" w:line="240" w:lineRule="auto"/>
      </w:pPr>
      <w:r>
        <w:rPr>
          <w:b/>
          <w:color w:val="C00000"/>
          <w:sz w:val="18"/>
        </w:rPr>
        <w:t xml:space="preserve">• Power Automate / Power Apps Canvas Apps: </w:t>
      </w:r>
      <w:r>
        <w:rPr>
          <w:color w:val="1F1F1F"/>
          <w:sz w:val="18"/>
        </w:rPr>
        <w:t xml:space="preserve">Partial / Honest Learning Bridge (Candidate does not claim Power Apps/DAX; bridges via Python/LangGraph automation and fast adaptability)</w:t>
      </w:r>
    </w:p>
    <w:p>
      <w:pPr>
        <w:spacing w:before="100" w:after="40" w:line="240" w:lineRule="auto"/>
        <w:pBdr>
          <w:bottom w:val="single" w:sz="6" w:space="4" w:color="17365D"/>
        </w:pBdr>
      </w:pPr>
      <w:r>
        <w:rPr>
          <w:b/>
          <w:color w:val="17365D"/>
          <w:sz w:val="20"/>
        </w:rPr>
        <w:t xml:space="preserve">3. LOGISTICS ALIGNMENT</w:t>
      </w:r>
    </w:p>
    <w:p>
      <w:pPr>
        <w:spacing w:before="0" w:after="40" w:line="240" w:lineRule="auto"/>
      </w:pPr>
      <w:r>
        <w:rPr>
          <w:b/>
          <w:color w:val="17365D"/>
          <w:sz w:val="18"/>
        </w:rPr>
        <w:t xml:space="preserve">• Onsite Availability: </w:t>
      </w:r>
      <w:r>
        <w:rPr>
          <w:color w:val="1F1F1F"/>
          <w:sz w:val="18"/>
        </w:rPr>
        <w:t xml:space="preserve">Confirmed available to work on-site in Greenwood Village, CO for the first 90 days.</w:t>
      </w:r>
    </w:p>
    <w:p>
      <w:pPr>
        <w:spacing w:before="0" w:after="40" w:line="240" w:lineRule="auto"/>
      </w:pPr>
      <w:r>
        <w:rPr>
          <w:b/>
          <w:color w:val="17365D"/>
          <w:sz w:val="18"/>
        </w:rPr>
        <w:t xml:space="preserve">• Background &amp; Checks: </w:t>
      </w:r>
      <w:r>
        <w:rPr>
          <w:color w:val="1F1F1F"/>
          <w:sz w:val="18"/>
        </w:rPr>
        <w:t xml:space="preserve">Background check, drug screen, and motor-vehicle records check ready.</w:t>
      </w:r>
    </w:p>
    <w:p>
      <w:pPr>
        <w:spacing w:before="0" w:after="40" w:line="240" w:lineRule="auto"/>
      </w:pPr>
      <w:r>
        <w:rPr>
          <w:b/>
          <w:color w:val="17365D"/>
          <w:sz w:val="18"/>
        </w:rPr>
        <w:t xml:space="preserve">• Compensation: </w:t>
      </w:r>
      <w:r>
        <w:rPr>
          <w:color w:val="1F1F1F"/>
          <w:sz w:val="18"/>
        </w:rPr>
        <w:t xml:space="preserve">Stated Colorado range of $95,612–$167,332 is fully acceptable.</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s>
</file>