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AI SAFETY &amp; GOVERNANCE POLICY ANALYST | ENTERPRISE TRANSFORMATION &amp; DATA ARCHITECTURE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Accomplished AI Safety &amp; Governance Policy Analyst with 20+ years translating complex operational requirements into scalable data, reporting, and workflow transformation solutions. Proven track record optimizing business systems, architecting enterprise data conversions, and reconciling multi-million dollar ledgers. Combines deep SQL, ERP systems, and acquisition operations expertise with a University of Denver Graduate Certificate in AI Strategy to design modern process improvements, evaluate emerging technologies, and deliver high-adoption user enablement.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Business Analysis &amp; Systems Optimization: </w:t>
      </w:r>
      <w:r>
        <w:rPr>
          <w:color w:val="1F1F1F"/>
          <w:sz w:val="18"/>
        </w:rPr>
        <w:t xml:space="preserve">Requirements Elicitation • Process Mapping • Functional Specifications • SDLC Delivery • Stakeholder Enablement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Data Architecture &amp; Reporting: </w:t>
      </w:r>
      <w:r>
        <w:rPr>
          <w:color w:val="1F1F1F"/>
          <w:sz w:val="18"/>
        </w:rPr>
        <w:t xml:space="preserve">Relational Data Modeling • SQL / PL*SQL • Power BI / Tableau Dashboards • Financial Reconciliations • Data Migration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AI Strategy &amp; Emerging Tech: </w:t>
      </w:r>
      <w:r>
        <w:rPr>
          <w:color w:val="1F1F1F"/>
          <w:sz w:val="18"/>
        </w:rPr>
        <w:t xml:space="preserve">AI Maturity Assessment • NIST AI RMF Governance • ROI Modeling • Prompt Engineering • Workflow Automation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