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40" w:lineRule="auto"/>
      </w:pPr>
      <w:r>
        <w:rPr>
          <w:b/>
          <w:color w:val="17365D"/>
          <w:sz w:val="24"/>
        </w:rPr>
        <w:t xml:space="preserve">Skill Gap Analysis: AI Governance &amp; Risk Analyst — Crocs, Inc.</w:t>
      </w:r>
    </w:p>
    <w:p>
      <w:pPr>
        <w:spacing w:before="0" w:after="100" w:line="240" w:lineRule="auto"/>
        <w:pBdr>
          <w:bottom w:val="single" w:sz="6" w:space="4" w:color="17365D"/>
        </w:pBdr>
      </w:pPr>
      <w:r>
        <w:rPr>
          <w:b/>
          <w:color w:val="17365D"/>
          <w:sz w:val="19"/>
        </w:rPr>
        <w:t xml:space="preserve">Candidate: Ebenezer J. Rolston • Match Score: 94/100 • Interview Probability: 90/100 • Location: Broomfield, CO</w:t>
      </w:r>
    </w:p>
    <w:p>
      <w:pPr>
        <w:spacing w:before="100" w:after="40" w:line="240" w:lineRule="auto"/>
        <w:pBdr>
          <w:bottom w:val="single" w:sz="6" w:space="4" w:color="17365D"/>
        </w:pBdr>
      </w:pPr>
      <w:r>
        <w:rPr>
          <w:b/>
          <w:color w:val="17365D"/>
          <w:sz w:val="20"/>
        </w:rPr>
        <w:t xml:space="preserve">1. FIT SUMMARY</w:t>
      </w:r>
    </w:p>
    <w:p>
      <w:pPr>
        <w:spacing w:before="0" w:after="100" w:line="240" w:lineRule="auto"/>
      </w:pPr>
      <w:r>
        <w:rPr>
          <w:color w:val="1F1F1F"/>
          <w:sz w:val="19"/>
        </w:rPr>
        <w:t xml:space="preserve">Ebenezer J. Rolston is an exceptional match (94/100) for the AI Governance &amp; Risk Analyst position at Crocs, Inc. He holds specialized AI Governance credentials from the AI Tech and Privacy Academy, University of Denver (Graduate Certificate in AI Strategy), and Stanford Continuing Studies (AI Architecture &amp; Accountability). His 20+ year enterprise systems background includes 14 years enforcing GS-13-level federal data governance and supporting Inspector General audits at the Department of the Interior. Combined with his local Denver/Broomfield availability and alignment with the $87k–$97k compensation target, he is positioned as an immediate contributor for Crocs' Enterprise AI team.</w:t>
      </w:r>
    </w:p>
    <w:p>
      <w:pPr>
        <w:spacing w:before="100" w:after="40" w:line="240" w:lineRule="auto"/>
        <w:pBdr>
          <w:bottom w:val="single" w:sz="6" w:space="4" w:color="17365D"/>
        </w:pBdr>
      </w:pPr>
      <w:r>
        <w:rPr>
          <w:b/>
          <w:color w:val="17365D"/>
          <w:sz w:val="20"/>
        </w:rPr>
        <w:t xml:space="preserve">2. SKILL MATCH MATRIX</w:t>
      </w:r>
    </w:p>
    <w:p>
      <w:pPr>
        <w:spacing w:before="0" w:after="40" w:line="240" w:lineRule="auto"/>
      </w:pPr>
      <w:r>
        <w:rPr>
          <w:b/>
          <w:color w:val="008000"/>
          <w:sz w:val="18"/>
        </w:rPr>
        <w:t xml:space="preserve">• AI Governance Frameworks (NIST AI RMF, EU AI Act): </w:t>
      </w:r>
      <w:r>
        <w:rPr>
          <w:color w:val="1F1F1F"/>
          <w:sz w:val="18"/>
        </w:rPr>
        <w:t xml:space="preserve">Matched (Direct / Credentials - DU, Stanford, AI Tech &amp; Privacy Academy)</w:t>
      </w:r>
    </w:p>
    <w:p>
      <w:pPr>
        <w:spacing w:before="0" w:after="40" w:line="240" w:lineRule="auto"/>
      </w:pPr>
      <w:r>
        <w:rPr>
          <w:b/>
          <w:color w:val="008000"/>
          <w:sz w:val="18"/>
        </w:rPr>
        <w:t xml:space="preserve">• AI Risk Assessments &amp; Risk Register: </w:t>
      </w:r>
      <w:r>
        <w:rPr>
          <w:color w:val="1F1F1F"/>
          <w:sz w:val="18"/>
        </w:rPr>
        <w:t xml:space="preserve">Matched (Direct Portfolio - 6-dimension ChatGPT Health risk framework &amp; AI Guardians toolkit)</w:t>
      </w:r>
    </w:p>
    <w:p>
      <w:pPr>
        <w:spacing w:before="0" w:after="40" w:line="240" w:lineRule="auto"/>
      </w:pPr>
      <w:r>
        <w:rPr>
          <w:b/>
          <w:color w:val="008000"/>
          <w:sz w:val="18"/>
        </w:rPr>
        <w:t xml:space="preserve">• Cross-Functional Intake &amp; Review Gates: </w:t>
      </w:r>
      <w:r>
        <w:rPr>
          <w:color w:val="1F1F1F"/>
          <w:sz w:val="18"/>
        </w:rPr>
        <w:t xml:space="preserve">Matched (Direct Evidence - 14 yrs DOI systems lead, Acxiom SDLC Methodology Board)</w:t>
      </w:r>
    </w:p>
    <w:p>
      <w:pPr>
        <w:spacing w:before="0" w:after="40" w:line="240" w:lineRule="auto"/>
      </w:pPr>
      <w:r>
        <w:rPr>
          <w:b/>
          <w:color w:val="008000"/>
          <w:sz w:val="18"/>
        </w:rPr>
        <w:t xml:space="preserve">• Data Governance &amp; PII/Privacy Oversight: </w:t>
      </w:r>
      <w:r>
        <w:rPr>
          <w:color w:val="1F1F1F"/>
          <w:sz w:val="18"/>
        </w:rPr>
        <w:t xml:space="preserve">Matched (Direct Evidence - Acxiom consumer fraud protection, DOI FBMS data governance)</w:t>
      </w:r>
    </w:p>
    <w:p>
      <w:pPr>
        <w:spacing w:before="0" w:after="40" w:line="240" w:lineRule="auto"/>
      </w:pPr>
      <w:r>
        <w:rPr>
          <w:b/>
          <w:color w:val="008000"/>
          <w:sz w:val="18"/>
        </w:rPr>
        <w:t xml:space="preserve">• Audit Support &amp; Internal Controls: </w:t>
      </w:r>
      <w:r>
        <w:rPr>
          <w:color w:val="1F1F1F"/>
          <w:sz w:val="18"/>
        </w:rPr>
        <w:t xml:space="preserve">Matched (Direct Evidence - Supported IG audits, 7 yrs PRISM Administrator access controls)</w:t>
      </w:r>
    </w:p>
    <w:p>
      <w:pPr>
        <w:spacing w:before="0" w:after="40" w:line="240" w:lineRule="auto"/>
      </w:pPr>
      <w:r>
        <w:rPr>
          <w:b/>
          <w:color w:val="C00000"/>
          <w:sz w:val="18"/>
        </w:rPr>
        <w:t xml:space="preserve">• Retail Footwear Industry Domain: </w:t>
      </w:r>
      <w:r>
        <w:rPr>
          <w:color w:val="1F1F1F"/>
          <w:sz w:val="18"/>
        </w:rPr>
        <w:t xml:space="preserve">Partial / Transferable (Candidate has deep consumer fraud &amp; enterprise systems experience; bridges footwear merchandising rapidly)</w:t>
      </w:r>
    </w:p>
    <w:p>
      <w:pPr>
        <w:spacing w:before="100" w:after="40" w:line="240" w:lineRule="auto"/>
        <w:pBdr>
          <w:bottom w:val="single" w:sz="6" w:space="4" w:color="17365D"/>
        </w:pBdr>
      </w:pPr>
      <w:r>
        <w:rPr>
          <w:b/>
          <w:color w:val="17365D"/>
          <w:sz w:val="20"/>
        </w:rPr>
        <w:t xml:space="preserve">3. LOGISTICS ALIGNMENT</w:t>
      </w:r>
    </w:p>
    <w:p>
      <w:pPr>
        <w:spacing w:before="0" w:after="40" w:line="240" w:lineRule="auto"/>
      </w:pPr>
      <w:r>
        <w:rPr>
          <w:b/>
          <w:color w:val="17365D"/>
          <w:sz w:val="18"/>
        </w:rPr>
        <w:t xml:space="preserve">• Location: </w:t>
      </w:r>
      <w:r>
        <w:rPr>
          <w:color w:val="1F1F1F"/>
          <w:sz w:val="18"/>
        </w:rPr>
        <w:t xml:space="preserve">Broomfield, CO (Hybrid) — Confirmed Denver resident with reliable vehicle.</w:t>
      </w:r>
    </w:p>
    <w:p>
      <w:pPr>
        <w:spacing w:before="0" w:after="40" w:line="240" w:lineRule="auto"/>
      </w:pPr>
      <w:r>
        <w:rPr>
          <w:b/>
          <w:color w:val="17365D"/>
          <w:sz w:val="18"/>
        </w:rPr>
        <w:t xml:space="preserve">• Compensation: </w:t>
      </w:r>
      <w:r>
        <w:rPr>
          <w:color w:val="1F1F1F"/>
          <w:sz w:val="18"/>
        </w:rPr>
        <w:t xml:space="preserve">Stated range of $87,000–$97,000 is fully acceptable.</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s>
</file>