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20" w:line="240" w:lineRule="auto"/>
      </w:pPr>
      <w:r>
        <w:rPr>
          <w:b/>
          <w:color w:val="17365D"/>
          <w:sz w:val="28"/>
        </w:rPr>
        <w:t xml:space="preserve">Ebenezer J. Rolston</w:t>
      </w:r>
    </w:p>
    <w:p>
      <w:pPr>
        <w:spacing w:before="0" w:after="20" w:line="240" w:lineRule="auto"/>
      </w:pPr>
      <w:r>
        <w:rPr>
          <w:color w:val="17365D"/>
          <w:sz w:val="20"/>
        </w:rPr>
        <w:t xml:space="preserve">AI Governance &amp; Risk Analyst Candidate</w:t>
      </w:r>
    </w:p>
    <w:p>
      <w:pPr>
        <w:spacing w:before="0" w:after="120" w:line="240" w:lineRule="auto"/>
        <w:pBdr>
          <w:bottom w:val="single" w:sz="6" w:space="4" w:color="17365D"/>
        </w:pBdr>
      </w:pPr>
      <w:r>
        <w:rPr>
          <w:color w:val="1F1F1F"/>
          <w:sz w:val="18"/>
        </w:rPr>
        <w:t xml:space="preserve">Denver, CO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AI Guardians</w:t>
        </w:r>
      </w:hyperlink>
    </w:p>
    <w:p>
      <w:pPr>
        <w:spacing w:before="0" w:after="100" w:line="240" w:lineRule="auto"/>
      </w:pPr>
      <w:r>
        <w:rPr>
          <w:color w:val="1F1F1F"/>
          <w:sz w:val="19"/>
        </w:rPr>
        <w:t xml:space="preserve">2026-10-15</w:t>
      </w:r>
    </w:p>
    <w:p>
      <w:pPr>
        <w:spacing w:before="0" w:after="20" w:line="240" w:lineRule="auto"/>
      </w:pPr>
      <w:r>
        <w:rPr>
          <w:b/>
          <w:color w:val="1F1F1F"/>
          <w:sz w:val="19"/>
        </w:rPr>
        <w:t xml:space="preserve">Hiring Team — Enterprise AI Solutions &amp; Delivery</w:t>
      </w:r>
    </w:p>
    <w:p>
      <w:pPr>
        <w:spacing w:before="0" w:after="20" w:line="240" w:lineRule="auto"/>
      </w:pPr>
      <w:r>
        <w:rPr>
          <w:color w:val="1F1F1F"/>
          <w:sz w:val="19"/>
        </w:rPr>
        <w:t xml:space="preserve">Crocs, Inc.</w:t>
      </w:r>
    </w:p>
    <w:p>
      <w:pPr>
        <w:spacing w:before="0" w:after="100" w:line="240" w:lineRule="auto"/>
      </w:pPr>
      <w:r>
        <w:rPr>
          <w:color w:val="1F1F1F"/>
          <w:sz w:val="19"/>
        </w:rPr>
        <w:t xml:space="preserve">Broomfield, CO</w:t>
      </w:r>
    </w:p>
    <w:p>
      <w:pPr>
        <w:spacing w:before="0" w:after="120" w:line="240" w:lineRule="auto"/>
      </w:pPr>
      <w:r>
        <w:rPr>
          <w:b/>
          <w:color w:val="17365D"/>
          <w:sz w:val="20"/>
        </w:rPr>
        <w:t xml:space="preserve">RE: AI Governance &amp; Risk Analyst (Broomfield, CO)</w:t>
      </w:r>
    </w:p>
    <w:p>
      <w:pPr>
        <w:spacing w:before="0" w:after="100" w:line="240" w:lineRule="auto"/>
      </w:pPr>
      <w:r>
        <w:rPr>
          <w:color w:val="1F1F1F"/>
          <w:sz w:val="19"/>
        </w:rPr>
        <w:t xml:space="preserve">Dear Hiring Team,</w:t>
      </w:r>
    </w:p>
    <w:p>
      <w:pPr>
        <w:spacing w:before="0" w:after="100" w:line="240" w:lineRule="auto"/>
      </w:pPr>
      <w:r>
        <w:rPr>
          <w:color w:val="1F1F1F"/>
          <w:sz w:val="19"/>
        </w:rPr>
        <w:t xml:space="preserve">Thank you for considering my application for the AI Governance &amp; Risk Analyst role at Crocs, Inc. As a Denver-area technology governance and systems professional with over 20 years of experience implementing compliance controls, data oversight, and risk frameworks across federal and commercial enterprises—and having completed specialized graduate and executive training in AI governance and accountability—I am excited by the opportunity to help Crocs and HEYDUDE safely scale artificial intelligence across your global brand operations.</w:t>
      </w:r>
    </w:p>
    <w:p>
      <w:pPr>
        <w:spacing w:before="0" w:after="100" w:line="240" w:lineRule="auto"/>
      </w:pPr>
      <w:r>
        <w:rPr>
          <w:color w:val="1F1F1F"/>
          <w:sz w:val="19"/>
        </w:rPr>
        <w:t xml:space="preserve">Throughout my career, I have focused on translating complex regulatory and policy requirements into practical, operational workflows that safeguard data while enabling business agility. Supporting the Department of the Interior’s Acquisition Directorate at a GS-13 level, I owned enterprise application governance for mission-critical procurement and financial platforms, enforced strict access controls and segregation of duties as a 7-year Unison PRISM Administrator, and supported Inspector General audit inquiries. Earlier at Acxiom, I standardized SDLC governance across cross-functional PMO and engineering teams on the Acxiom Methodology Board and built Citibank’s first online predictive scoring model to safeguard consumer financial data.</w:t>
      </w:r>
    </w:p>
    <w:p>
      <w:pPr>
        <w:spacing w:before="0" w:after="100" w:line="240" w:lineRule="auto"/>
      </w:pPr>
      <w:r>
        <w:rPr>
          <w:color w:val="1F1F1F"/>
          <w:sz w:val="19"/>
        </w:rPr>
        <w:t xml:space="preserve">To complement my enterprise systems background, I have dedicated significant focus to modern AI governance, completing a Graduate Certificate in AI Strategy at the University of Denver, AI Architecture &amp; Accountability at Stanford Continuing Studies, and formal credentials from the AI Tech and Privacy Academy. During this period, I authored a comprehensive 6-dimension risk framework (ChatGPT Health) evaluating hallucination, bias, data privacy, and compliance controls, and created an 11-tool practical AI governance toolkit on </w:t>
      </w:r>
      <w:hyperlink r:id="rIdHyperlink2">
        <w:r>
          <w:rPr>
            <w:b/>
            <w:color w:val="17365D"/>
            <w:sz w:val="19"/>
            <w:u w:val="single"/>
          </w:rPr>
          <w:t xml:space="preserve">AI Guardians</w:t>
        </w:r>
      </w:hyperlink>
      <w:r>
        <w:rPr>
          <w:color w:val="1F1F1F"/>
          <w:sz w:val="19"/>
        </w:rPr>
        <w:t xml:space="preserve">. This background enables me to partner seamlessly with your Legal, Information Security, and engineering stakeholders to design review gates, maintain the enterprise AI risk register, and ensure responsible model adoption.</w:t>
      </w:r>
    </w:p>
    <w:p>
      <w:pPr>
        <w:spacing w:before="0" w:after="120" w:line="240" w:lineRule="auto"/>
      </w:pPr>
      <w:r>
        <w:rPr>
          <w:color w:val="1F1F1F"/>
          <w:sz w:val="19"/>
        </w:rPr>
        <w:t xml:space="preserve">Living in the Denver metro area, I am fully available for the hybrid schedule at your Broomfield headquarters, and the target compensation range of $87,000–$97,000 is completely acceptable. I welcome the opportunity to discuss how my governance background and practical AI risk toolsets can support Crocs’ Enterprise AI team, and I respectfully request your feedback on my candidacy if another applicant is selected. Thank you for your time and consideration.</w:t>
      </w:r>
    </w:p>
    <w:p>
      <w:pPr>
        <w:spacing w:before="0" w:after="80" w:line="240" w:lineRule="auto"/>
      </w:pPr>
      <w:r>
        <w:rPr>
          <w:color w:val="1F1F1F"/>
          <w:sz w:val="19"/>
        </w:rPr>
        <w:t xml:space="preserve">Sincerely,</w:t>
      </w:r>
    </w:p>
    <w:p>
      <w:pPr>
        <w:spacing w:before="0" w:after="20" w:line="240" w:lineRule="auto"/>
      </w:pPr>
      <w:r>
        <w:rPr>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portal.aiguardiansllc.us/" TargetMode="External"/>
  <Relationship Id="rIdHyperlink2" Type="http://schemas.openxmlformats.org/officeDocument/2006/relationships/hyperlink" Target="https://portal.aiguardiansllc.us/" TargetMode="External"/>
</Relationships>
</file>