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b/>
          <w:color w:val="17365D"/>
          <w:sz w:val="36"/>
        </w:rPr>
        <w:t xml:space="preserve">Ebenezer J. Rolston</w:t>
      </w:r>
    </w:p>
    <w:p>
      <w:pPr>
        <w:jc w:val="center"/>
        <w:spacing w:before="0" w:after="40" w:line="240" w:lineRule="auto"/>
      </w:pPr>
      <w:r>
        <w:rPr>
          <w:b/>
          <w:color w:val="17365D"/>
          <w:sz w:val="19"/>
        </w:rPr>
        <w:t xml:space="preserve">AI GOVERNANCE &amp; RISK ANALYST | RESPONSIBLE AI • GRC • ENTERPRISE CONTROLS</w:t>
      </w:r>
    </w:p>
    <w:p>
      <w:pPr>
        <w:jc w:val="center"/>
        <w:spacing w:before="0" w:after="100" w:line="240" w:lineRule="auto"/>
        <w:pBdr>
          <w:bottom w:val="single" w:sz="6" w:space="4" w:color="17365D"/>
        </w:pBdr>
      </w:pPr>
      <w:r>
        <w:rPr>
          <w:color w:val="1F1F1F"/>
          <w:sz w:val="18"/>
        </w:rPr>
        <w:t xml:space="preserve">Denver, CO • Broomfield Hybrid Available • </w:t>
      </w:r>
      <w:r>
        <w:rPr>
          <w:color w:val="1F1F1F"/>
          <w:sz w:val="18"/>
        </w:rPr>
        <w:t xml:space="preserve">eberolston@yahoo.com</w:t>
      </w:r>
      <w:r>
        <w:rPr>
          <w:color w:val="1F1F1F"/>
          <w:sz w:val="18"/>
        </w:rPr>
        <w:t xml:space="preserve"> • 501-307-3237 • </w:t>
      </w:r>
      <w:hyperlink r:id="rIdHyperlink1">
        <w:r>
          <w:rPr>
            <w:b/>
            <w:color w:val="17365D"/>
            <w:sz w:val="18"/>
            <w:u w:val="single"/>
          </w:rPr>
          <w:t xml:space="preserve">LinkedIn</w:t>
        </w:r>
      </w:hyperlink>
      <w:r>
        <w:rPr>
          <w:color w:val="1F1F1F"/>
          <w:sz w:val="18"/>
        </w:rPr>
        <w:t xml:space="preserve"> • </w:t>
      </w:r>
      <w:hyperlink r:id="rIdHyperlink2">
        <w:r>
          <w:rPr>
            <w:b/>
            <w:color w:val="17365D"/>
            <w:sz w:val="18"/>
            <w:u w:val="single"/>
          </w:rPr>
          <w:t xml:space="preserve">AI Guardians</w:t>
        </w:r>
      </w:hyperlink>
    </w:p>
    <w:p>
      <w:pPr>
        <w:spacing w:before="120" w:after="40" w:line="240" w:lineRule="auto"/>
        <w:pBdr>
          <w:bottom w:val="single" w:sz="6" w:space="4" w:color="17365D"/>
        </w:pBdr>
      </w:pPr>
      <w:r>
        <w:rPr>
          <w:b/>
          <w:color w:val="17365D"/>
          <w:sz w:val="20"/>
        </w:rPr>
        <w:t xml:space="preserve">PROFESSIONAL SUMMARY</w:t>
      </w:r>
    </w:p>
    <w:p>
      <w:pPr>
        <w:spacing w:before="0" w:after="60" w:line="240" w:lineRule="auto"/>
      </w:pPr>
      <w:r>
        <w:rPr>
          <w:color w:val="1F1F1F"/>
          <w:sz w:val="19"/>
        </w:rPr>
        <w:t xml:space="preserve">Accomplished AI Governance, Risk, and Compliance Analyst with 20+ years driving technology governance, risk mitigation, and enterprise systems oversight across highly regulated environments. Combines extensive background managing GS-13-level federal application controls and data governance at the Department of the Interior with specialized training from the University of Denver, Stanford Continuing Studies, and the AI Tech and Privacy Academy. Proven ability to establish AI governance frameworks, build pre-launch review gates and risk registers, assess generative AI use cases across 6 critical risk dimensions, and collaborate cross-functionally with Legal, IT, and product teams to enable responsible, scalable AI adoption.</w:t>
      </w:r>
    </w:p>
    <w:p>
      <w:pPr>
        <w:spacing w:before="0" w:after="40" w:line="240" w:lineRule="auto"/>
      </w:pPr>
      <w:r>
        <w:rPr>
          <w:b/>
          <w:color w:val="17365D"/>
          <w:sz w:val="18"/>
        </w:rPr>
        <w:t xml:space="preserve">• AI Governance Frameworks &amp; Risk Registers: </w:t>
      </w:r>
      <w:r>
        <w:rPr>
          <w:color w:val="1F1F1F"/>
          <w:sz w:val="18"/>
        </w:rPr>
        <w:t xml:space="preserve">Formulated comprehensive 6-dimension risk frameworks (ChatGPT Health) evaluating hallucination, bias, privacy/PII, governance, compliance, and ethical use; built 11-tool practical AI governance toolkit on AI Guardians portal.</w:t>
      </w:r>
    </w:p>
    <w:p>
      <w:pPr>
        <w:spacing w:before="0" w:after="40" w:line="240" w:lineRule="auto"/>
      </w:pPr>
      <w:r>
        <w:rPr>
          <w:b/>
          <w:color w:val="17365D"/>
          <w:sz w:val="18"/>
        </w:rPr>
        <w:t xml:space="preserve">• Enterprise Controls, Audits &amp; Regulatory Compliance: </w:t>
      </w:r>
      <w:r>
        <w:rPr>
          <w:color w:val="1F1F1F"/>
          <w:sz w:val="18"/>
        </w:rPr>
        <w:t xml:space="preserve">Owned enterprise application support under strict federal data-governance standards; supported Inspector General audits; enforced segregation of duties, access reviews, and data-flow compliance aligned with NIST AI RMF and EU AI Act principles.</w:t>
      </w:r>
    </w:p>
    <w:p>
      <w:pPr>
        <w:spacing w:before="0" w:after="100" w:line="240" w:lineRule="auto"/>
      </w:pPr>
      <w:r>
        <w:rPr>
          <w:b/>
          <w:color w:val="17365D"/>
          <w:sz w:val="18"/>
        </w:rPr>
        <w:t xml:space="preserve">• Operational Workflows &amp; Cross-Functional Enablement: </w:t>
      </w:r>
      <w:r>
        <w:rPr>
          <w:color w:val="1F1F1F"/>
          <w:sz w:val="18"/>
        </w:rPr>
        <w:t xml:space="preserve">Translated complex regulatory guidelines into practical review checklists, intake gates, and cohort training for 85+ enterprise users; standardized SDLC/SCM governance on the Acxiom Methodology Board.</w:t>
      </w:r>
    </w:p>
    <w:p>
      <w:pPr>
        <w:spacing w:before="120" w:after="40" w:line="240" w:lineRule="auto"/>
        <w:pBdr>
          <w:bottom w:val="single" w:sz="6" w:space="4" w:color="17365D"/>
        </w:pBdr>
      </w:pPr>
      <w:r>
        <w:rPr>
          <w:b/>
          <w:color w:val="17365D"/>
          <w:sz w:val="20"/>
        </w:rPr>
        <w:t xml:space="preserve">CORE COMPETENCIES</w:t>
      </w:r>
    </w:p>
    <w:p>
      <w:pPr>
        <w:spacing w:before="0" w:after="40" w:line="240" w:lineRule="auto"/>
      </w:pPr>
      <w:r>
        <w:rPr>
          <w:b/>
          <w:color w:val="17365D"/>
          <w:sz w:val="18"/>
        </w:rPr>
        <w:t xml:space="preserve">AI Governance &amp; Risk Management: </w:t>
      </w:r>
      <w:r>
        <w:rPr>
          <w:color w:val="1F1F1F"/>
          <w:sz w:val="18"/>
        </w:rPr>
        <w:t xml:space="preserve">NIST AI Risk Management Framework • EU AI Act &amp; GDPR Alignment • AI Risk Register • Intake Review Gates • Human-in-the-Loop Controls • Bias &amp; Hallucination Mitigation • AI Policy Development</w:t>
      </w:r>
    </w:p>
    <w:p>
      <w:pPr>
        <w:spacing w:before="0" w:after="40" w:line="240" w:lineRule="auto"/>
      </w:pPr>
      <w:r>
        <w:rPr>
          <w:b/>
          <w:color w:val="17365D"/>
          <w:sz w:val="18"/>
        </w:rPr>
        <w:t xml:space="preserve">Enterprise Compliance &amp; Audit: </w:t>
      </w:r>
      <w:r>
        <w:rPr>
          <w:color w:val="1F1F1F"/>
          <w:sz w:val="18"/>
        </w:rPr>
        <w:t xml:space="preserve">Data Governance &amp; PII Protection • Pre-Launch Review Controls • Internal &amp; IG Audit Support • Access Reviews &amp; Segregation of Duties • SOX-Adjacent Process Integrity • Incident Management</w:t>
      </w:r>
    </w:p>
    <w:p>
      <w:pPr>
        <w:spacing w:before="0" w:after="100" w:line="240" w:lineRule="auto"/>
      </w:pPr>
      <w:r>
        <w:rPr>
          <w:b/>
          <w:color w:val="17365D"/>
          <w:sz w:val="18"/>
        </w:rPr>
        <w:t xml:space="preserve">Technical Fluency &amp; Process Enablement: </w:t>
      </w:r>
      <w:r>
        <w:rPr>
          <w:color w:val="1F1F1F"/>
          <w:sz w:val="18"/>
        </w:rPr>
        <w:t xml:space="preserve">DU AI Strategy Certificate • Stanford AI Accountability Training • Agentic AI &amp; RAG Workflows • Vendor Evaluation Scorecards • User Training &amp; Enablement (85+ Trained) • SQL &amp; Data Flows</w:t>
      </w:r>
    </w:p>
    <w:p>
      <w:pPr>
        <w:spacing w:before="120" w:after="40" w:line="240" w:lineRule="auto"/>
        <w:pBdr>
          <w:bottom w:val="single" w:sz="6" w:space="4" w:color="17365D"/>
        </w:pBdr>
      </w:pPr>
      <w:r>
        <w:rPr>
          <w:b/>
          <w:color w:val="17365D"/>
          <w:sz w:val="20"/>
        </w:rPr>
        <w:t xml:space="preserve">AI GOVERNANCE &amp; RISK PORTFOLIO - Denver, CO | Sep 2025</w:t>
      </w:r>
    </w:p>
    <w:p>
      <w:pPr>
        <w:spacing w:before="0" w:after="40" w:line="240" w:lineRule="auto"/>
      </w:pPr>
      <w:r>
        <w:rPr>
          <w:color w:val="1F1F1F"/>
          <w:sz w:val="18"/>
        </w:rPr>
        <w:t xml:space="preserve">• </w:t>
      </w:r>
      <w:hyperlink r:id="rIdHyperlink3">
        <w:r>
          <w:rPr>
            <w:b/>
            <w:color w:val="17365D"/>
            <w:sz w:val="18"/>
            <w:u w:val="single"/>
          </w:rPr>
          <w:t xml:space="preserve">AI Guardians</w:t>
        </w:r>
      </w:hyperlink>
      <w:r>
        <w:rPr>
          <w:color w:val="1F1F1F"/>
          <w:sz w:val="18"/>
        </w:rPr>
        <w:t xml:space="preserve"> Governance Toolkit: Created 11-tool enterprise AI governance suite, including AI Readiness Assessment, Governance &amp; Risk Assessment, Risk &amp; Compliance Checklist, AI Policy Starter Kit, and Agentic AI Governance Tool.</w:t>
      </w:r>
    </w:p>
    <w:p>
      <w:pPr>
        <w:spacing w:before="0" w:after="40" w:line="240" w:lineRule="auto"/>
      </w:pPr>
      <w:r>
        <w:rPr>
          <w:b/>
          <w:color w:val="1F1F1F"/>
          <w:sz w:val="18"/>
        </w:rPr>
        <w:t xml:space="preserve">• Generative AI Risk Assessment (ChatGPT Health): </w:t>
      </w:r>
      <w:r>
        <w:rPr>
          <w:color w:val="1F1F1F"/>
          <w:sz w:val="18"/>
        </w:rPr>
        <w:t xml:space="preserve">Authored executive-ready pre-deployment risk assessment across 6 dimensions: hallucination, algorithmic bias, PII/data privacy, governance operating models, compliance controls, and ethical safeguards.</w:t>
      </w:r>
    </w:p>
    <w:p>
      <w:pPr>
        <w:spacing w:before="0" w:after="40" w:line="240" w:lineRule="auto"/>
      </w:pPr>
      <w:r>
        <w:rPr>
          <w:b/>
          <w:color w:val="1F1F1F"/>
          <w:sz w:val="18"/>
        </w:rPr>
        <w:t xml:space="preserve">• Privacy Impact Assessment &amp; Controls Mapping: </w:t>
      </w:r>
      <w:r>
        <w:rPr>
          <w:color w:val="1F1F1F"/>
          <w:sz w:val="18"/>
        </w:rPr>
        <w:t xml:space="preserve">Designed data inventory mapping for PII, data-flow analysis, lawful-basis analysis, retention/destruction controls, consent gates, and RBAC safeguards for AI intake pipelines.</w:t>
      </w:r>
    </w:p>
    <w:p>
      <w:pPr>
        <w:spacing w:before="0" w:after="40" w:line="240" w:lineRule="auto"/>
      </w:pPr>
      <w:r>
        <w:rPr>
          <w:b/>
          <w:color w:val="1F1F1F"/>
          <w:sz w:val="18"/>
        </w:rPr>
        <w:t xml:space="preserve">• Enterprise AI Roadmap &amp; Vendor Evaluation: </w:t>
      </w:r>
      <w:r>
        <w:rPr>
          <w:color w:val="1F1F1F"/>
          <w:sz w:val="18"/>
        </w:rPr>
        <w:t xml:space="preserve">Developed 3-year AI roadmap for Mile High Logistics and vendor evaluation scorecards assessing AI capabilities, security safeguards, governance compliance, and ROI.</w:t>
      </w:r>
    </w:p>
    <w:p>
      <w:pPr>
        <w:spacing w:before="120" w:after="40" w:line="240" w:lineRule="auto"/>
        <w:pBdr>
          <w:bottom w:val="single" w:sz="6" w:space="4" w:color="17365D"/>
        </w:pBdr>
      </w:pPr>
      <w:r>
        <w:rPr>
          <w:b/>
          <w:color w:val="17365D"/>
          <w:sz w:val="20"/>
        </w:rPr>
        <w:t xml:space="preserve">PROFESSIONAL EXPERIENCE</w:t>
      </w:r>
    </w:p>
    <w:p>
      <w:pPr>
        <w:spacing w:before="60" w:after="40" w:line="240" w:lineRule="auto"/>
        <w:shd w:val="clear" w:color="auto" w:fill="EBF1F5"/>
      </w:pPr>
      <w:r>
        <w:rPr>
          <w:b/>
          <w:color w:val="17365D"/>
          <w:sz w:val="19"/>
        </w:rPr>
        <w:t xml:space="preserve">PROGRAM ANALYST, ACQUISITIONS DIRECTORATE | U.S. DEPARTMENT OF THE INTERIOR	Denver, CO | Jan–Sep 2025</w:t>
      </w:r>
    </w:p>
    <w:p>
      <w:pPr>
        <w:spacing w:before="0" w:after="40" w:line="240" w:lineRule="auto"/>
      </w:pPr>
      <w:r>
        <w:rPr>
          <w:color w:val="1F1F1F"/>
          <w:sz w:val="18"/>
        </w:rPr>
        <w:t xml:space="preserve">• Senior operational and functional lead for Acquisition Directorate contracting operations, overseeing enterprise system compliance and governance in a highly regulated, GS-13-level environment.</w:t>
      </w:r>
    </w:p>
    <w:p>
      <w:pPr>
        <w:spacing w:before="0" w:after="40" w:line="240" w:lineRule="auto"/>
      </w:pPr>
      <w:r>
        <w:rPr>
          <w:color w:val="1F1F1F"/>
          <w:sz w:val="18"/>
        </w:rPr>
        <w:t xml:space="preserve">• Owned enterprise application support for mission-critical procurement and financial platforms, ensuring continuous compliance with federal data-governance standards and security policies.</w:t>
      </w:r>
    </w:p>
    <w:p>
      <w:pPr>
        <w:spacing w:before="0" w:after="40" w:line="240" w:lineRule="auto"/>
      </w:pPr>
      <w:r>
        <w:rPr>
          <w:color w:val="1F1F1F"/>
          <w:sz w:val="18"/>
        </w:rPr>
        <w:t xml:space="preserve">• Served as top escalation resource coordinating incident resolution across technical and business teams, ensuring audit trails and root-cause remediations were fully documented.</w:t>
      </w:r>
    </w:p>
    <w:p>
      <w:pPr>
        <w:spacing w:before="0" w:after="40" w:line="240" w:lineRule="auto"/>
      </w:pPr>
      <w:r>
        <w:rPr>
          <w:color w:val="1F1F1F"/>
          <w:sz w:val="18"/>
        </w:rPr>
        <w:t xml:space="preserve">• Delivered operational guidance and user enablement that drove governance adherence and reduced repeat compliance issues across the directorate.</w:t>
      </w:r>
    </w:p>
    <w:p>
      <w:pPr>
        <w:spacing w:before="100" w:after="40" w:line="240" w:lineRule="auto"/>
        <w:shd w:val="clear" w:color="auto" w:fill="EBF1F5"/>
      </w:pPr>
      <w:r>
        <w:rPr>
          <w:b/>
          <w:color w:val="17365D"/>
          <w:sz w:val="19"/>
        </w:rPr>
        <w:t xml:space="preserve">SENIOR ANALYST CONSULTANT | ARKSOLUTIONS — CLIENT: IBC ACQUISITION DIRECTORATE	Denver, CO | 2011–2025</w:t>
      </w:r>
    </w:p>
    <w:p>
      <w:pPr>
        <w:spacing w:before="0" w:after="40" w:line="240" w:lineRule="auto"/>
      </w:pPr>
      <w:r>
        <w:rPr>
          <w:color w:val="1F1F1F"/>
          <w:sz w:val="18"/>
        </w:rPr>
        <w:t xml:space="preserve">• Architected DOI FBMS enterprise data conversion as ETL Architect, mapping data flows, profiling data quality, and enforcing strict data-governance rules across 12 bureau databases (2 DOI Awards).</w:t>
      </w:r>
    </w:p>
    <w:p>
      <w:pPr>
        <w:spacing w:before="0" w:after="40" w:line="240" w:lineRule="auto"/>
      </w:pPr>
      <w:r>
        <w:rPr>
          <w:color w:val="1F1F1F"/>
          <w:sz w:val="18"/>
        </w:rPr>
        <w:t xml:space="preserve">• Served as Unison PRISM Administrator for 7 years: provisioned and de-provisioned user accounts, conducted periodic access reviews, enforced segregation of duties, and managed privileged accounts.</w:t>
      </w:r>
    </w:p>
    <w:p>
      <w:pPr>
        <w:spacing w:before="0" w:after="40" w:line="240" w:lineRule="auto"/>
      </w:pPr>
      <w:r>
        <w:rPr>
          <w:color w:val="1F1F1F"/>
          <w:sz w:val="18"/>
        </w:rPr>
        <w:t xml:space="preserve">• Supported Inspector General audit requests for contracts awarded by the Acquisition Directorate, providing data extracts, audit logs, and compliance documentation.</w:t>
      </w:r>
    </w:p>
    <w:p>
      <w:pPr>
        <w:spacing w:before="0" w:after="40" w:line="240" w:lineRule="auto"/>
      </w:pPr>
      <w:r>
        <w:rPr>
          <w:color w:val="1F1F1F"/>
          <w:sz w:val="18"/>
        </w:rPr>
        <w:t xml:space="preserve">• Handled special compliance procedures for defense-contractor awards, ensuring qualifying awards adhered to FPDS exemption requirements and federal data-governance rules.</w:t>
      </w:r>
    </w:p>
    <w:p>
      <w:pPr>
        <w:spacing w:before="0" w:after="40" w:line="240" w:lineRule="auto"/>
      </w:pPr>
      <w:r>
        <w:rPr>
          <w:color w:val="1F1F1F"/>
          <w:sz w:val="18"/>
        </w:rPr>
        <w:t xml:space="preserve">• Designed and delivered operational and cohort training for 85+ users, establishing standard operating procedures (SOPs) that systematically lowered helpdesk tickets.</w:t>
      </w:r>
    </w:p>
    <w:p>
      <w:pPr>
        <w:spacing w:before="100" w:after="40" w:line="240" w:lineRule="auto"/>
        <w:shd w:val="clear" w:color="auto" w:fill="EBF1F5"/>
      </w:pPr>
      <w:r>
        <w:rPr>
          <w:b/>
          <w:color w:val="17365D"/>
          <w:sz w:val="19"/>
        </w:rPr>
        <w:t xml:space="preserve">SOLUTIONS DEVELOPER / SOLUTION ARCHITECT | ACXIOM CORPORATION	1999–2010</w:t>
      </w:r>
    </w:p>
    <w:p>
      <w:pPr>
        <w:spacing w:before="0" w:after="40" w:line="240" w:lineRule="auto"/>
      </w:pPr>
      <w:r>
        <w:rPr>
          <w:color w:val="1F1F1F"/>
          <w:sz w:val="18"/>
        </w:rPr>
        <w:t xml:space="preserve">• Built Citibank's first Online Identity Scoring Model (early AI/ML predictive analytics) to prevent fraudulent account applications and safeguard sensitive consumer financial data.</w:t>
      </w:r>
    </w:p>
    <w:p>
      <w:pPr>
        <w:spacing w:before="0" w:after="40" w:line="240" w:lineRule="auto"/>
      </w:pPr>
      <w:r>
        <w:rPr>
          <w:color w:val="1F1F1F"/>
          <w:sz w:val="18"/>
        </w:rPr>
        <w:t xml:space="preserve">• Standardized company-wide SDLC and source-code management (SCM) governance as Process Improvement Manager on the Acxiom Methodology Board, directing cross-functional PMO, SQA, and development teams.</w:t>
      </w:r>
    </w:p>
    <w:p>
      <w:pPr>
        <w:spacing w:before="0" w:after="40" w:line="240" w:lineRule="auto"/>
      </w:pPr>
      <w:r>
        <w:rPr>
          <w:color w:val="1F1F1F"/>
          <w:sz w:val="18"/>
        </w:rPr>
        <w:t xml:space="preserve">• Directed senior engineering team in demonstrating a passenger screening and identity-verification prototype to U.S. Congressional stakeholders.</w:t>
      </w:r>
    </w:p>
    <w:p>
      <w:pPr>
        <w:spacing w:before="120" w:after="40" w:line="240" w:lineRule="auto"/>
        <w:pBdr>
          <w:bottom w:val="single" w:sz="6" w:space="4" w:color="17365D"/>
        </w:pBdr>
      </w:pPr>
      <w:r>
        <w:rPr>
          <w:b/>
          <w:color w:val="17365D"/>
          <w:sz w:val="20"/>
        </w:rPr>
        <w:t xml:space="preserve">EDUCATION &amp; CREDENTIALS</w:t>
      </w:r>
    </w:p>
    <w:p>
      <w:pPr>
        <w:spacing w:before="0" w:after="40" w:line="240" w:lineRule="auto"/>
      </w:pPr>
      <w:r>
        <w:rPr>
          <w:b/>
          <w:color w:val="17365D"/>
          <w:sz w:val="18"/>
        </w:rPr>
        <w:t xml:space="preserve">Graduate Certificate, AI Strategy &amp; Applications in IT</w:t>
      </w:r>
      <w:r>
        <w:rPr>
          <w:color w:val="1F1F1F"/>
          <w:sz w:val="18"/>
        </w:rPr>
        <w:t xml:space="preserve"> : University of Denver</w:t>
      </w:r>
    </w:p>
    <w:p>
      <w:pPr>
        <w:spacing w:before="0" w:after="40" w:line="240" w:lineRule="auto"/>
      </w:pPr>
      <w:r>
        <w:rPr>
          <w:b/>
          <w:color w:val="17365D"/>
          <w:sz w:val="18"/>
        </w:rPr>
        <w:t xml:space="preserve">AI Governance</w:t>
      </w:r>
      <w:r>
        <w:rPr>
          <w:color w:val="1F1F1F"/>
          <w:sz w:val="18"/>
        </w:rPr>
        <w:t xml:space="preserve"> : AI Tech and Privacy Academy</w:t>
      </w:r>
    </w:p>
    <w:p>
      <w:pPr>
        <w:spacing w:before="0" w:after="40" w:line="240" w:lineRule="auto"/>
      </w:pPr>
      <w:r>
        <w:rPr>
          <w:b/>
          <w:color w:val="17365D"/>
          <w:sz w:val="18"/>
        </w:rPr>
        <w:t xml:space="preserve">AI Architecture &amp; AI Accountability</w:t>
      </w:r>
      <w:r>
        <w:rPr>
          <w:color w:val="1F1F1F"/>
          <w:sz w:val="18"/>
        </w:rPr>
        <w:t xml:space="preserve"> : Stanford Continuing Studies</w:t>
      </w:r>
    </w:p>
    <w:p>
      <w:pPr>
        <w:spacing w:before="0" w:after="40" w:line="240" w:lineRule="auto"/>
      </w:pPr>
      <w:r>
        <w:rPr>
          <w:b/>
          <w:color w:val="17365D"/>
          <w:sz w:val="18"/>
        </w:rPr>
        <w:t xml:space="preserve">LLM &amp; Agentic AI</w:t>
      </w:r>
      <w:r>
        <w:rPr>
          <w:color w:val="1F1F1F"/>
          <w:sz w:val="18"/>
        </w:rPr>
        <w:t xml:space="preserve"> : Harvard School of Engineering and Applied Sciences</w:t>
      </w:r>
    </w:p>
    <w:p>
      <w:pPr>
        <w:spacing w:before="0" w:after="40" w:line="240" w:lineRule="auto"/>
      </w:pPr>
      <w:r>
        <w:rPr>
          <w:b/>
          <w:color w:val="17365D"/>
          <w:sz w:val="18"/>
        </w:rPr>
        <w:t xml:space="preserve">M.S. &amp; B.S., Computer Science</w:t>
      </w:r>
      <w:r>
        <w:rPr>
          <w:color w:val="1F1F1F"/>
          <w:sz w:val="18"/>
        </w:rPr>
        <w:t xml:space="preserve"> : St. Joseph's College</w:t>
      </w:r>
    </w:p>
    <w:p>
      <w:pPr>
        <w:spacing w:before="0" w:after="40" w:line="240" w:lineRule="auto"/>
      </w:pPr>
      <w:r>
        <w:rPr>
          <w:b/>
          <w:color w:val="C00000"/>
          <w:sz w:val="18"/>
        </w:rPr>
        <w:t xml:space="preserve">Awards: </w:t>
      </w:r>
      <w:r>
        <w:rPr>
          <w:color w:val="1F1F1F"/>
          <w:sz w:val="18"/>
        </w:rPr>
        <w:t xml:space="preserve">Interior Business Center Award for Excellence · DOI FBMS Special Recognition Award</w:t>
      </w:r>
    </w:p>
    <w:p>
      <w:pPr>
        <w:spacing w:before="120" w:after="40" w:line="240" w:lineRule="auto"/>
        <w:pBdr>
          <w:bottom w:val="single" w:sz="6" w:space="4" w:color="17365D"/>
        </w:pBdr>
      </w:pPr>
      <w:r>
        <w:rPr>
          <w:b/>
          <w:color w:val="17365D"/>
          <w:sz w:val="20"/>
        </w:rPr>
        <w:t xml:space="preserve">TECHNICAL PROFICIENCIES</w:t>
      </w:r>
    </w:p>
    <w:p>
      <w:pPr>
        <w:spacing w:before="0" w:after="40" w:line="240" w:lineRule="auto"/>
      </w:pPr>
      <w:r>
        <w:rPr>
          <w:b/>
          <w:color w:val="17365D"/>
          <w:sz w:val="18"/>
        </w:rPr>
        <w:t xml:space="preserve">AI Governance Frameworks: </w:t>
      </w:r>
      <w:r>
        <w:rPr>
          <w:color w:val="1F1F1F"/>
          <w:sz w:val="18"/>
        </w:rPr>
        <w:t xml:space="preserve">NIST AI Risk Management Framework, EU AI Act, OECD AI Principles, AI Risk Register, Human-in-the-Loop Controls</w:t>
      </w:r>
    </w:p>
    <w:p>
      <w:pPr>
        <w:spacing w:before="0" w:after="40" w:line="240" w:lineRule="auto"/>
      </w:pPr>
      <w:r>
        <w:rPr>
          <w:b/>
          <w:color w:val="17365D"/>
          <w:sz w:val="18"/>
        </w:rPr>
        <w:t xml:space="preserve">Risk &amp; Compliance: </w:t>
      </w:r>
      <w:r>
        <w:rPr>
          <w:color w:val="1F1F1F"/>
          <w:sz w:val="18"/>
        </w:rPr>
        <w:t xml:space="preserve">Data Governance, PII/Privacy Impact Assessments, Pre-Launch Review Gates, Access Reviews, Audit Trail Oversight, Remedy</w:t>
      </w:r>
    </w:p>
    <w:p>
      <w:pPr>
        <w:spacing w:before="0" w:after="40" w:line="240" w:lineRule="auto"/>
      </w:pPr>
      <w:r>
        <w:rPr>
          <w:b/>
          <w:color w:val="17365D"/>
          <w:sz w:val="18"/>
        </w:rPr>
        <w:t xml:space="preserve">AI &amp; Automation Tools: </w:t>
      </w:r>
      <w:r>
        <w:rPr>
          <w:color w:val="1F1F1F"/>
          <w:sz w:val="18"/>
        </w:rPr>
        <w:t xml:space="preserve">Microsoft Copilot, Azure OpenAI APIs, RAG, Agentic AI, LangGraph, Python, Streamlit, Qdrant</w:t>
      </w:r>
    </w:p>
    <w:p>
      <w:pPr>
        <w:spacing w:before="0" w:after="40" w:line="240" w:lineRule="auto"/>
      </w:pPr>
      <w:r>
        <w:rPr>
          <w:b/>
          <w:color w:val="17365D"/>
          <w:sz w:val="18"/>
        </w:rPr>
        <w:t xml:space="preserve">Enterprise Systems &amp; Data: </w:t>
      </w:r>
      <w:r>
        <w:rPr>
          <w:color w:val="1F1F1F"/>
          <w:sz w:val="18"/>
        </w:rPr>
        <w:t xml:space="preserve">SAP S/4HANA, Unison PRISM, Oracle PL/SQL, SQL, Star Schema Warehouses, Tableau, Power BI</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 Id="rIdHyperlink3" Type="http://schemas.openxmlformats.org/officeDocument/2006/relationships/hyperlink" Target="https://portal.aiguardiansllc.us/" TargetMode="External"/>
</Relationships>
</file>