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40" w:lineRule="auto"/>
      </w:pPr>
      <w:r>
        <w:rPr>
          <w:b/>
          <w:color w:val="17365D"/>
          <w:sz w:val="24"/>
        </w:rPr>
        <w:t xml:space="preserve">Interview Preparation Package: AI Governance &amp; Risk Analyst</w:t>
      </w:r>
    </w:p>
    <w:p>
      <w:pPr>
        <w:spacing w:before="0" w:after="100" w:line="240" w:lineRule="auto"/>
        <w:pBdr>
          <w:bottom w:val="single" w:sz="6" w:space="4" w:color="17365D"/>
        </w:pBdr>
      </w:pPr>
      <w:r>
        <w:rPr>
          <w:color w:val="1F1F1F"/>
          <w:sz w:val="18"/>
        </w:rPr>
        <w:t xml:space="preserve">Company: Crocs, Inc. • Location: Broomfield, CO (Hybrid) • Candidate: Ebenezer J. Rolston</w:t>
      </w:r>
    </w:p>
    <w:p>
      <w:pPr>
        <w:spacing w:before="100" w:after="40" w:line="240" w:lineRule="auto"/>
        <w:pBdr>
          <w:bottom w:val="single" w:sz="6" w:space="4" w:color="17365D"/>
        </w:pBdr>
      </w:pPr>
      <w:r>
        <w:rPr>
          <w:b/>
          <w:color w:val="17365D"/>
          <w:sz w:val="20"/>
        </w:rPr>
        <w:t xml:space="preserve">1. COMPANY &amp; ENTERPRISE AI MANDATE BRIEF</w:t>
      </w:r>
    </w:p>
    <w:p>
      <w:pPr>
        <w:spacing w:before="0" w:after="40" w:line="240" w:lineRule="auto"/>
      </w:pPr>
      <w:r>
        <w:rPr>
          <w:b/>
          <w:color w:val="008000"/>
          <w:sz w:val="18"/>
        </w:rPr>
        <w:t xml:space="preserve">• Organization: </w:t>
      </w:r>
      <w:r>
        <w:rPr>
          <w:color w:val="1F1F1F"/>
          <w:sz w:val="18"/>
        </w:rPr>
        <w:t xml:space="preserve">Crocs, Inc. (NASDAQ: CROX) — global leader in innovative casual footwear, operating iconic brands Crocs and HEYDUDE across 85+ countries, headquartered in Broomfield, Colorado.</w:t>
      </w:r>
    </w:p>
    <w:p>
      <w:pPr>
        <w:spacing w:before="0" w:after="40" w:line="240" w:lineRule="auto"/>
      </w:pPr>
      <w:r>
        <w:rPr>
          <w:b/>
          <w:color w:val="008000"/>
          <w:sz w:val="18"/>
        </w:rPr>
        <w:t xml:space="preserve">• Team Context: </w:t>
      </w:r>
      <w:r>
        <w:rPr>
          <w:color w:val="1F1F1F"/>
          <w:sz w:val="18"/>
        </w:rPr>
        <w:t xml:space="preserve">Role sits in the centralized Enterprise AI function, reporting to the Senior Manager of AI Solutions &amp; Delivery.</w:t>
      </w:r>
    </w:p>
    <w:p>
      <w:pPr>
        <w:spacing w:before="0" w:after="40" w:line="240" w:lineRule="auto"/>
      </w:pPr>
      <w:r>
        <w:rPr>
          <w:b/>
          <w:color w:val="008000"/>
          <w:sz w:val="18"/>
        </w:rPr>
        <w:t xml:space="preserve">• Core Mission: </w:t>
      </w:r>
      <w:r>
        <w:rPr>
          <w:color w:val="1F1F1F"/>
          <w:sz w:val="18"/>
        </w:rPr>
        <w:t xml:space="preserve">Establish enterprise AI governance frameworks, maintain the AI risk register, conduct risk assessments for new AI use cases, partner cross-functionally with Legal/InfoSec/Audit, and ensure SOX-relevant financial/pricing integrity.</w:t>
      </w:r>
    </w:p>
    <w:p>
      <w:pPr>
        <w:spacing w:before="100" w:after="40" w:line="240" w:lineRule="auto"/>
        <w:pBdr>
          <w:bottom w:val="single" w:sz="6" w:space="4" w:color="17365D"/>
        </w:pBdr>
      </w:pPr>
      <w:r>
        <w:rPr>
          <w:b/>
          <w:color w:val="17365D"/>
          <w:sz w:val="20"/>
        </w:rPr>
        <w:t xml:space="preserve">2. CANDIDATE FIT NARRATIVE &amp; HONEST GAP MAP</w:t>
      </w:r>
    </w:p>
    <w:p>
      <w:pPr>
        <w:spacing w:before="0" w:after="40" w:line="240" w:lineRule="auto"/>
      </w:pPr>
      <w:r>
        <w:rPr>
          <w:b/>
          <w:color w:val="008000"/>
          <w:sz w:val="18"/>
        </w:rPr>
        <w:t xml:space="preserve">• Direct Strengths: </w:t>
      </w:r>
      <w:r>
        <w:rPr>
          <w:color w:val="1F1F1F"/>
          <w:sz w:val="18"/>
        </w:rPr>
        <w:t xml:space="preserve">Specialized credentials in AI Governance (AI Tech and Privacy Academy, DU, Stanford Accountability); authored 6-dimension risk framework (ChatGPT Health); 14 years federal data governance &amp; IG audit support at DOI; Denver resident available for Broomfield hybrid.</w:t>
      </w:r>
    </w:p>
    <w:p>
      <w:pPr>
        <w:spacing w:before="0" w:after="40" w:line="240" w:lineRule="auto"/>
      </w:pPr>
      <w:r>
        <w:rPr>
          <w:b/>
          <w:color w:val="C00000"/>
          <w:sz w:val="18"/>
        </w:rPr>
        <w:t xml:space="preserve">• Honest Learning Bridge (Do Not Over-Claim): </w:t>
      </w:r>
      <w:r>
        <w:rPr>
          <w:color w:val="1F1F1F"/>
          <w:sz w:val="18"/>
        </w:rPr>
        <w:t xml:space="preserve">Candidate frames AI Guardians tools and healthcare risk assessments as company toolkit and graduate project work (not external client production deployments). Candidate has deep cross-functional governance and e-commerce fraud data experience, but bridges retail footwear merchandising via quick industry adaptation.</w:t>
      </w:r>
    </w:p>
    <w:p>
      <w:pPr>
        <w:spacing w:before="100" w:after="40" w:line="240" w:lineRule="auto"/>
        <w:pBdr>
          <w:bottom w:val="single" w:sz="6" w:space="4" w:color="17365D"/>
        </w:pBdr>
      </w:pPr>
      <w:r>
        <w:rPr>
          <w:b/>
          <w:color w:val="17365D"/>
          <w:sz w:val="20"/>
        </w:rPr>
        <w:t xml:space="preserve">3. 60–90 SECOND SPOKEN ELEVATOR PITCH</w:t>
      </w:r>
    </w:p>
    <w:p>
      <w:pPr>
        <w:spacing w:before="0" w:after="100" w:line="240" w:lineRule="auto"/>
      </w:pPr>
      <w:r>
        <w:rPr>
          <w:i/>
          <w:color w:val="1F1F1F"/>
          <w:sz w:val="19"/>
        </w:rPr>
        <w:t xml:space="preserve">Hello, I'm Ebenezer Rolston. Throughout my 20-year career in enterprise systems and data governance, I've specialized in translating complex compliance, security, and policy requirements into practical operational guardrails. Supporting the Department of the Interior's Acquisition Directorate at a GS-13 level, I owned enterprise application support under strict federal data-governance standards, enforced access and segregation-of-duties controls, and supported Inspector General audits. More recently, I completed a graduate certificate in AI Strategy at the University of Denver, along with AI Governance credentials from the AI Tech and Privacy Academy and Stanford Continuing Studies. In that work, I built risk frameworks assessing generative AI across hallucination, bias, privacy, and compliance dimensions, and developed an 11-tool practical AI governance toolkit. What excites me about Crocs is the opportunity to partner with your Enterprise AI team here in Broomfield to build pragmatic review gates and risk registers that empower your teams to innovate rapidly and responsibly.</w:t>
      </w:r>
    </w:p>
    <w:p>
      <w:pPr>
        <w:spacing w:before="100" w:after="40" w:line="240" w:lineRule="auto"/>
        <w:pBdr>
          <w:bottom w:val="single" w:sz="6" w:space="4" w:color="17365D"/>
        </w:pBdr>
      </w:pPr>
      <w:r>
        <w:rPr>
          <w:b/>
          <w:color w:val="17365D"/>
          <w:sz w:val="20"/>
        </w:rPr>
        <w:t xml:space="preserve">4. DEEP TECHNICAL &amp; GOVERNANCE QUESTION BANK</w:t>
      </w:r>
    </w:p>
    <w:p>
      <w:pPr>
        <w:spacing w:before="0" w:after="40" w:line="240" w:lineRule="auto"/>
      </w:pPr>
      <w:r>
        <w:rPr>
          <w:b/>
          <w:color w:val="17365D"/>
          <w:sz w:val="18"/>
        </w:rPr>
        <w:t xml:space="preserve">• Q: How do you design an AI intake and review gate that doesn't slow down engineering teams? </w:t>
      </w:r>
      <w:r>
        <w:rPr>
          <w:color w:val="1F1F1F"/>
          <w:sz w:val="18"/>
        </w:rPr>
        <w:t xml:space="preserve">A: Implement a tiered risk triage: Low-risk internal productivity tools use self-service checklists; medium/high-risk use cases (customer-facing, PII/financial data, autonomous actions) undergo structured risk reviews covering data sensitivity, fallback controls, human-in-the-loop gates, and audit logging.</w:t>
      </w:r>
    </w:p>
    <w:p>
      <w:pPr>
        <w:spacing w:before="0" w:after="40" w:line="240" w:lineRule="auto"/>
      </w:pPr>
      <w:r>
        <w:rPr>
          <w:b/>
          <w:color w:val="17365D"/>
          <w:sz w:val="18"/>
        </w:rPr>
        <w:t xml:space="preserve">• Q: How do you protect SOX-relevant financial or pricing algorithms? </w:t>
      </w:r>
      <w:r>
        <w:rPr>
          <w:color w:val="1F1F1F"/>
          <w:sz w:val="18"/>
        </w:rPr>
        <w:t xml:space="preserve">A: Apply deterministic controls, complete audit logging of inputs/outputs, model versioning, strict RBAC, data drift monitoring, and manual exception review mechanisms before final ledger posting.</w:t>
      </w:r>
    </w:p>
    <w:p>
      <w:pPr>
        <w:spacing w:before="0" w:after="40" w:line="240" w:lineRule="auto"/>
      </w:pPr>
      <w:r>
        <w:rPr>
          <w:b/>
          <w:color w:val="17365D"/>
          <w:sz w:val="18"/>
        </w:rPr>
        <w:t xml:space="preserve">• Q: How do you handle hallucination or bias in customer-facing LLM deployments? </w:t>
      </w:r>
      <w:r>
        <w:rPr>
          <w:color w:val="1F1F1F"/>
          <w:sz w:val="18"/>
        </w:rPr>
        <w:t xml:space="preserve">A: Mandate retrieval grounding (RAG) restricted to verified company knowledge, enforce prompt guardrails and output filtering, establish human-in-the-loop review for edge cases, and run continuous evaluation harnesses for groundedness and accuracy.</w:t>
      </w:r>
    </w:p>
    <w:p>
      <w:pPr>
        <w:spacing w:before="100" w:after="40" w:line="240" w:lineRule="auto"/>
        <w:pBdr>
          <w:bottom w:val="single" w:sz="6" w:space="4" w:color="17365D"/>
        </w:pBdr>
      </w:pPr>
      <w:r>
        <w:rPr>
          <w:b/>
          <w:color w:val="17365D"/>
          <w:sz w:val="20"/>
        </w:rPr>
        <w:t xml:space="preserve">5. STAR STORY BANK</w:t>
      </w:r>
    </w:p>
    <w:p>
      <w:pPr>
        <w:spacing w:before="0" w:after="40" w:line="240" w:lineRule="auto"/>
      </w:pPr>
      <w:r>
        <w:rPr>
          <w:b/>
          <w:color w:val="17365D"/>
          <w:sz w:val="18"/>
        </w:rPr>
        <w:t xml:space="preserve">• Story 1: AI Risk Framework &amp; Impact Assessment (ChatGPT Health / DU): </w:t>
      </w:r>
      <w:r>
        <w:rPr>
          <w:color w:val="1F1F1F"/>
          <w:sz w:val="18"/>
        </w:rPr>
        <w:t xml:space="preserve">Formulated a 6-dimension pre-deployment risk matrix and privacy impact assessment covering PII/PHI mapping, lawful basis, retention controls, and RBAC, establishing leadership pre-launch review gates.</w:t>
      </w:r>
    </w:p>
    <w:p>
      <w:pPr>
        <w:spacing w:before="0" w:after="40" w:line="240" w:lineRule="auto"/>
      </w:pPr>
      <w:r>
        <w:rPr>
          <w:b/>
          <w:color w:val="17365D"/>
          <w:sz w:val="18"/>
        </w:rPr>
        <w:t xml:space="preserve">• Story 2: Federal Data Governance &amp; Inspector General Audit Defense (DOI): </w:t>
      </w:r>
      <w:r>
        <w:rPr>
          <w:color w:val="1F1F1F"/>
          <w:sz w:val="18"/>
        </w:rPr>
        <w:t xml:space="preserve">Enforced strict data governance, access controls, and segregation of duties for 7 years as PRISM Administrator, successfully supporting IG audit inquiries with zero compliance findings.</w:t>
      </w:r>
    </w:p>
    <w:p>
      <w:pPr>
        <w:spacing w:before="0" w:after="40" w:line="240" w:lineRule="auto"/>
      </w:pPr>
      <w:r>
        <w:rPr>
          <w:b/>
          <w:color w:val="17365D"/>
          <w:sz w:val="18"/>
        </w:rPr>
        <w:t xml:space="preserve">• Story 3: SDLC &amp; SCM Governance Standardization (Acxiom): </w:t>
      </w:r>
      <w:r>
        <w:rPr>
          <w:color w:val="1F1F1F"/>
          <w:sz w:val="18"/>
        </w:rPr>
        <w:t xml:space="preserve">Led cross-functional teams across PMO, SQA, and engineering to establish company-wide software and change governance methodology on the Acxiom Methodology Board.</w:t>
      </w:r>
    </w:p>
    <w:p>
      <w:pPr>
        <w:spacing w:before="100" w:after="40" w:line="240" w:lineRule="auto"/>
        <w:pBdr>
          <w:bottom w:val="single" w:sz="6" w:space="4" w:color="17365D"/>
        </w:pBdr>
      </w:pPr>
      <w:r>
        <w:rPr>
          <w:b/>
          <w:color w:val="17365D"/>
          <w:sz w:val="20"/>
        </w:rPr>
        <w:t xml:space="preserve">6. CURATED READING LIST</w:t>
      </w:r>
    </w:p>
    <w:p>
      <w:pPr>
        <w:spacing w:before="0" w:after="40" w:line="240" w:lineRule="auto"/>
      </w:pPr>
      <w:hyperlink r:id="rIdHyperlink1">
        <w:r>
          <w:rPr>
            <w:b/>
            <w:color w:val="17365D"/>
            <w:sz w:val="20"/>
            <w:u w:val="single"/>
          </w:rPr>
          <w:t xml:space="preserve">• Crocs, Inc. Corporate &amp; Careers: </w:t>
        </w:r>
      </w:hyperlink>
      <w:r>
        <w:rPr>
          <w:color w:val="1F1F1F"/>
          <w:sz w:val="18"/>
        </w:rPr>
        <w:t xml:space="preserve"> — Review Crocs global brand mission, culture, and Broomfield corporate operations.</w:t>
      </w:r>
    </w:p>
    <w:p>
      <w:pPr>
        <w:spacing w:before="0" w:after="40" w:line="240" w:lineRule="auto"/>
      </w:pPr>
      <w:hyperlink r:id="rIdHyperlink2">
        <w:r>
          <w:rPr>
            <w:b/>
            <w:color w:val="17365D"/>
            <w:sz w:val="20"/>
            <w:u w:val="single"/>
          </w:rPr>
          <w:t xml:space="preserve">• NIST AI Risk Management Framework (AI RMF 1.0): </w:t>
        </w:r>
      </w:hyperlink>
      <w:r>
        <w:rPr>
          <w:color w:val="1F1F1F"/>
          <w:sz w:val="18"/>
        </w:rPr>
        <w:t xml:space="preserve"> — Govern, Map, Measure, Manage core functions.</w:t>
      </w:r>
    </w:p>
    <w:p>
      <w:pPr>
        <w:spacing w:before="0" w:after="40" w:line="240" w:lineRule="auto"/>
      </w:pPr>
      <w:hyperlink r:id="rIdHyperlink3">
        <w:r>
          <w:rPr>
            <w:b/>
            <w:color w:val="17365D"/>
            <w:sz w:val="20"/>
            <w:u w:val="single"/>
          </w:rPr>
          <w:t xml:space="preserve">• AI Guardians Governance Toolkit: </w:t>
        </w:r>
      </w:hyperlink>
      <w:r>
        <w:rPr>
          <w:color w:val="1F1F1F"/>
          <w:sz w:val="18"/>
        </w:rPr>
        <w:t xml:space="preserve"> — Practical AI readiness and compliance tools.</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careers.crocs.com" TargetMode="External"/>
  <Relationship Id="rIdHyperlink2" Type="http://schemas.openxmlformats.org/officeDocument/2006/relationships/hyperlink" Target="https://www.nist.gov/itl/ai-risk-management-framework" TargetMode="External"/>
  <Relationship Id="rIdHyperlink3" Type="http://schemas.openxmlformats.org/officeDocument/2006/relationships/hyperlink" Target="https://portal.aiguardiansllc.us/" TargetMode="External"/>
</Relationships>
</file>