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Skill Gap Analysis: Program Analyst (Data Analytics)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General Services Administration (GSA) — Federal Acquisition Service (FAS) | GS-0343-13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Candidate: Ebenezer J. Rolston • Control Number: 887843500 • Date: 2026-10-12 (Post Fact-Finding)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FIT OVERVIEW &amp; SCORES (POST FACT-FINDING)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Match Score: </w:t>
      </w:r>
      <w:r>
        <w:rPr>
          <w:b/>
          <w:color w:val="008000"/>
          <w:sz w:val="19"/>
        </w:rPr>
        <w:t xml:space="preserve">85 / 100 (Strong Fit) — Increased from initial 78/100 following fact-finding</w:t>
      </w:r>
    </w:p>
    <w:p>
      <w:pPr>
        <w:spacing w:before="0" w:after="40" w:line="240" w:lineRule="auto"/>
      </w:pPr>
      <w:r>
        <w:rPr>
          <w:b/>
          <w:color w:val="17365D"/>
          <w:sz w:val="19"/>
        </w:rPr>
        <w:t xml:space="preserve">• Interview Probability: </w:t>
      </w:r>
      <w:r>
        <w:rPr>
          <w:b/>
          <w:color w:val="008000"/>
          <w:sz w:val="19"/>
        </w:rPr>
        <w:t xml:space="preserve">80 / 100 — Substantial direct evidence in SAP financial reporting and operational analytics</w:t>
      </w:r>
    </w:p>
    <w:p>
      <w:pPr>
        <w:spacing w:before="0" w:after="80" w:line="240" w:lineRule="auto"/>
      </w:pPr>
      <w:r>
        <w:rPr>
          <w:color w:val="1F1F1F"/>
          <w:sz w:val="19"/>
        </w:rPr>
        <w:t xml:space="preserve">Rationale: Fact-finding confirmed direct hands-on execution of SAP financial reports (FBL1N, ME2M, FAGLL03, ZFI), SQL query authoring for operational reports, Remedy helpdesk trend analytics, and multi-year funds reconciliation ($1M+ reclaimed annually). These are verified core data analytics deliverables that directly satisfy the JOA requirements. The remaining gap in fleet/vehicle lifecycle management is effectively bridged through parallel federal acquisition lifecycle methodologies.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2. SKILL MATCH MATRIX</w:t>
      </w:r>
    </w:p>
    <w:p>
      <w:pPr>
        <w:spacing w:before="0" w:after="25" w:line="240" w:lineRule="auto"/>
        <w:ind w:left="288" w:hanging="180"/>
      </w:pPr>
      <w:r>
        <w:rPr>
          <w:b/>
          <w:color w:val="008000"/>
          <w:sz w:val="18"/>
        </w:rPr>
        <w:t xml:space="preserve">• Data Analytics &amp; Reporting: </w:t>
      </w:r>
      <w:r>
        <w:rPr>
          <w:color w:val="1F1F1F"/>
          <w:sz w:val="18"/>
        </w:rPr>
        <w:t xml:space="preserve">MATCHED (Direct Evidence) — SAP financial reporting (FBL1N, ME2M, FAGLL03, ZFI) pulled/formatted for COs/CORs; SQL reporting.</w:t>
      </w:r>
    </w:p>
    <w:p>
      <w:pPr>
        <w:spacing w:before="0" w:after="25" w:line="240" w:lineRule="auto"/>
        <w:ind w:left="288" w:hanging="180"/>
      </w:pPr>
      <w:r>
        <w:rPr>
          <w:b/>
          <w:color w:val="C00000"/>
          <w:sz w:val="18"/>
        </w:rPr>
        <w:t xml:space="preserve">• Business Intelligence Dashboards: </w:t>
      </w:r>
      <w:r>
        <w:rPr>
          <w:color w:val="1F1F1F"/>
          <w:sz w:val="18"/>
        </w:rPr>
        <w:t xml:space="preserve">PARTIAL (Exploratory/Academic) — Tableau exploratory data analysis; Matplotlib academic charts; Advanced Excel modeling.</w:t>
      </w:r>
    </w:p>
    <w:p>
      <w:pPr>
        <w:spacing w:before="0" w:after="25" w:line="240" w:lineRule="auto"/>
        <w:ind w:left="288" w:hanging="180"/>
      </w:pPr>
      <w:r>
        <w:rPr>
          <w:b/>
          <w:color w:val="008000"/>
          <w:sz w:val="18"/>
        </w:rPr>
        <w:t xml:space="preserve">• Data Visualization for Leadership: </w:t>
      </w:r>
      <w:r>
        <w:rPr>
          <w:color w:val="1F1F1F"/>
          <w:sz w:val="18"/>
        </w:rPr>
        <w:t xml:space="preserve">MATCHED (Direct Evidence) — Briefed COs/CORs, leadership on SAP financial data; Congressional-level demo at Acxiom.</w:t>
      </w:r>
    </w:p>
    <w:p>
      <w:pPr>
        <w:spacing w:before="0" w:after="25" w:line="240" w:lineRule="auto"/>
        <w:ind w:left="288" w:hanging="180"/>
      </w:pPr>
      <w:r>
        <w:rPr>
          <w:b/>
          <w:color w:val="008000"/>
          <w:sz w:val="18"/>
        </w:rPr>
        <w:t xml:space="preserve">• Programming &amp; Query Tools: </w:t>
      </w:r>
      <w:r>
        <w:rPr>
          <w:color w:val="1F1F1F"/>
          <w:sz w:val="18"/>
        </w:rPr>
        <w:t xml:space="preserve">MATCHED (Direct + Coursework) — Production SQL/PL/SQL; Coursework in Python, PySpark, Spark, NumPy, Pandas.</w:t>
      </w:r>
    </w:p>
    <w:p>
      <w:pPr>
        <w:spacing w:before="0" w:after="25" w:line="240" w:lineRule="auto"/>
        <w:ind w:left="288" w:hanging="180"/>
      </w:pPr>
      <w:r>
        <w:rPr>
          <w:b/>
          <w:color w:val="008000"/>
          <w:sz w:val="18"/>
        </w:rPr>
        <w:t xml:space="preserve">• Complex Dataset Analysis: </w:t>
      </w:r>
      <w:r>
        <w:rPr>
          <w:color w:val="1F1F1F"/>
          <w:sz w:val="18"/>
        </w:rPr>
        <w:t xml:space="preserve">MATCHED (Direct Evidence) — ETL Architect for DOI FBMS conversion (millions of records); Acxiom relational models.</w:t>
      </w:r>
    </w:p>
    <w:p>
      <w:pPr>
        <w:spacing w:before="0" w:after="25" w:line="240" w:lineRule="auto"/>
        <w:ind w:left="288" w:hanging="180"/>
      </w:pPr>
      <w:r>
        <w:rPr>
          <w:b/>
          <w:color w:val="008000"/>
          <w:sz w:val="18"/>
        </w:rPr>
        <w:t xml:space="preserve">• Federal Program Analysis (GS-13): </w:t>
      </w:r>
      <w:r>
        <w:rPr>
          <w:color w:val="1F1F1F"/>
          <w:sz w:val="18"/>
        </w:rPr>
        <w:t xml:space="preserve">MATCHED (Direct Evidence) — Program Analyst at DOI Acquisitions Directorate (GS-13 equivalent); 14-yr consulting lead.</w:t>
      </w:r>
    </w:p>
    <w:p>
      <w:pPr>
        <w:spacing w:before="0" w:after="25" w:line="240" w:lineRule="auto"/>
        <w:ind w:left="288" w:hanging="180"/>
      </w:pPr>
      <w:r>
        <w:rPr>
          <w:b/>
          <w:color w:val="008000"/>
          <w:sz w:val="18"/>
        </w:rPr>
        <w:t xml:space="preserve">• Advisory &amp; Guidance to Management: </w:t>
      </w:r>
      <w:r>
        <w:rPr>
          <w:color w:val="1F1F1F"/>
          <w:sz w:val="18"/>
        </w:rPr>
        <w:t xml:space="preserve">MATCHED (Direct Evidence) — Senior escalation lead; FSALT advisory leadership; advised 3 major AQD IT modernizations.</w:t>
      </w:r>
    </w:p>
    <w:p>
      <w:pPr>
        <w:spacing w:before="0" w:after="25" w:line="240" w:lineRule="auto"/>
        <w:ind w:left="288" w:hanging="180"/>
      </w:pPr>
      <w:r>
        <w:rPr>
          <w:b/>
          <w:color w:val="008000"/>
          <w:sz w:val="18"/>
        </w:rPr>
        <w:t xml:space="preserve">• Briefings to Senior Leadership: </w:t>
      </w:r>
      <w:r>
        <w:rPr>
          <w:color w:val="1F1F1F"/>
          <w:sz w:val="18"/>
        </w:rPr>
        <w:t xml:space="preserve">MATCHED (Direct Evidence) — Executive briefings at DOI and FSALT; Congressional stakeholder presentations.</w:t>
      </w:r>
    </w:p>
    <w:p>
      <w:pPr>
        <w:spacing w:before="0" w:after="25" w:line="240" w:lineRule="auto"/>
        <w:ind w:left="288" w:hanging="180"/>
      </w:pPr>
      <w:r>
        <w:rPr>
          <w:b/>
          <w:color w:val="008000"/>
          <w:sz w:val="18"/>
        </w:rPr>
        <w:t xml:space="preserve">• Financial Performance Reporting: </w:t>
      </w:r>
      <w:r>
        <w:rPr>
          <w:color w:val="1F1F1F"/>
          <w:sz w:val="18"/>
        </w:rPr>
        <w:t xml:space="preserve">MATCHED (Direct Evidence) — Reclaimed $1M+ annually in funds deobligation; UDO tracking; FBL1N vendor ledger reconciliation.</w:t>
      </w:r>
    </w:p>
    <w:p>
      <w:pPr>
        <w:spacing w:before="0" w:after="25" w:line="240" w:lineRule="auto"/>
        <w:ind w:left="288" w:hanging="180"/>
      </w:pPr>
      <w:r>
        <w:rPr>
          <w:b/>
          <w:color w:val="C00000"/>
          <w:sz w:val="18"/>
        </w:rPr>
        <w:t xml:space="preserve">• Vehicle Lifecycle / Fleet Domain: </w:t>
      </w:r>
      <w:r>
        <w:rPr>
          <w:color w:val="1F1F1F"/>
          <w:sz w:val="18"/>
        </w:rPr>
        <w:t xml:space="preserve">LEARNING BRIDGE — No direct fleet experience; bridged via federal capital asset and procurement lifecycle analytics.</w:t>
      </w:r>
    </w:p>
    <w:p>
      <w:pPr>
        <w:spacing w:before="0" w:after="25" w:line="240" w:lineRule="auto"/>
        <w:ind w:left="288" w:hanging="180"/>
      </w:pPr>
      <w:r>
        <w:rPr>
          <w:b/>
          <w:color w:val="008000"/>
          <w:sz w:val="18"/>
        </w:rPr>
        <w:t xml:space="preserve">• Supplier Management Analytics: </w:t>
      </w:r>
      <w:r>
        <w:rPr>
          <w:color w:val="1F1F1F"/>
          <w:sz w:val="18"/>
        </w:rPr>
        <w:t xml:space="preserve">TRANSFERABLE — IPAC vendor billing reconciliation; aviation contract vendor management; GSA Schedule analysis.</w:t>
      </w:r>
    </w:p>
    <w:p>
      <w:pPr>
        <w:spacing w:before="0" w:after="80" w:line="240" w:lineRule="auto"/>
        <w:ind w:left="288" w:hanging="180"/>
      </w:pPr>
      <w:r>
        <w:rPr>
          <w:b/>
          <w:color w:val="008000"/>
          <w:sz w:val="18"/>
        </w:rPr>
        <w:t xml:space="preserve">• Security Suitability / Public Trust: </w:t>
      </w:r>
      <w:r>
        <w:rPr>
          <w:color w:val="1F1F1F"/>
          <w:sz w:val="18"/>
        </w:rPr>
        <w:t xml:space="preserve">MATCHED — Previously held Public Trust (inactive); prior investigation facilitates smooth reinvestigation.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3. GAP RESOLUTION &amp; COMPETITIVE POSITIONING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Key Strengths: </w:t>
      </w:r>
      <w:r>
        <w:rPr>
          <w:color w:val="1F1F1F"/>
          <w:sz w:val="18"/>
        </w:rPr>
        <w:t xml:space="preserve">14 years of federal acquisition systems analysis at GS-13 level; hands-on SAP transaction reporting; $1M+ annual cost recovery; award-winning ETL data conversion; DU AI Strategy credential; Denver resident for Lakewood duty station.</w:t>
      </w:r>
    </w:p>
    <w:p>
      <w:pPr>
        <w:spacing w:before="0" w:after="60" w:line="240" w:lineRule="auto"/>
      </w:pPr>
      <w:r>
        <w:rPr>
          <w:b/>
          <w:color w:val="17365D"/>
          <w:sz w:val="18"/>
        </w:rPr>
        <w:t xml:space="preserve">Honest Learning Bridges: </w:t>
      </w:r>
      <w:r>
        <w:rPr>
          <w:color w:val="1F1F1F"/>
          <w:sz w:val="18"/>
        </w:rPr>
        <w:t xml:space="preserve">Fleet domain knowledge bridged via federal asset lifecycle models and Mile High Logistics coursework roadmap; Tableau framed honestly as exploratory discovery; Python framed as rapid prototyping and statistical analysis.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