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24"/>
        </w:rPr>
        <w:t xml:space="preserve">Interview Preparation Package: Program Analyst (Data Analytics)</w:t>
      </w:r>
    </w:p>
    <w:p>
      <w:pPr>
        <w:jc w:val="center"/>
        <w:spacing w:before="0" w:after="20" w:line="240" w:lineRule="auto"/>
      </w:pPr>
      <w:r>
        <w:rPr>
          <w:rFonts w:ascii="Cambria" w:hAnsi="Cambria"/>
          <w:b/>
          <w:color w:val="5B9BD5"/>
          <w:sz w:val="20"/>
        </w:rPr>
        <w:t xml:space="preserve">General Services Administration (GSA) — Federal Acquisition Service (FAS)</w:t>
      </w:r>
    </w:p>
    <w:p>
      <w:pPr>
        <w:jc w:val="center"/>
        <w:spacing w:before="0" w:after="80" w:line="240" w:lineRule="auto"/>
        <w:pBdr>
          <w:bottom w:val="single" w:sz="6" w:space="4" w:color="17365D"/>
        </w:pBdr>
      </w:pPr>
      <w:r>
        <w:rPr>
          <w:color w:val="4F4F4F"/>
          <w:sz w:val="18"/>
        </w:rPr>
        <w:t xml:space="preserve">Candidate: Ebenezer J. Rolston • Grade: GS-13 • Vacancy Control Number: 887843500 • Location: Lakewood, CO</w:t>
      </w:r>
    </w:p>
    <w:p>
      <w:pPr>
        <w:spacing w:before="100" w:after="40" w:line="240" w:lineRule="auto"/>
        <w:pBdr>
          <w:bottom w:val="single" w:sz="6" w:space="4" w:color="17365D"/>
        </w:pBdr>
      </w:pPr>
      <w:r>
        <w:rPr>
          <w:rFonts w:ascii="Cambria" w:hAnsi="Cambria"/>
          <w:b/>
          <w:color w:val="17365D"/>
          <w:sz w:val="20"/>
        </w:rPr>
        <w:t xml:space="preserve">1. ROLE, AGENCY &amp; SECTOR BRIEF</w:t>
      </w:r>
    </w:p>
    <w:p>
      <w:pPr>
        <w:spacing w:before="0" w:after="30" w:line="240" w:lineRule="auto"/>
      </w:pPr>
      <w:r>
        <w:rPr>
          <w:b/>
          <w:color w:val="008000"/>
          <w:sz w:val="18"/>
        </w:rPr>
        <w:t xml:space="preserve">• Agency Mission: </w:t>
      </w:r>
      <w:r>
        <w:rPr>
          <w:color w:val="1F1F1F"/>
          <w:sz w:val="18"/>
        </w:rPr>
        <w:t xml:space="preserve">GSA Federal Acquisition Service (FAS) acquires over $100B in products and services annually across federal agencies.</w:t>
      </w:r>
    </w:p>
    <w:p>
      <w:pPr>
        <w:spacing w:before="0" w:after="30" w:line="240" w:lineRule="auto"/>
      </w:pPr>
      <w:r>
        <w:rPr>
          <w:b/>
          <w:color w:val="008000"/>
          <w:sz w:val="18"/>
        </w:rPr>
        <w:t xml:space="preserve">• GSA Fleet Context: </w:t>
      </w:r>
      <w:r>
        <w:rPr>
          <w:color w:val="1F1F1F"/>
          <w:sz w:val="18"/>
        </w:rPr>
        <w:t xml:space="preserve">Manages 230,000+ non-tactical leased vehicles worldwide. Priorities: lifecycle cost reduction, telematics, supplier accountability, and the Zero-Emission Vehicle (ZEV) transition.</w:t>
      </w:r>
    </w:p>
    <w:p>
      <w:pPr>
        <w:spacing w:before="0" w:after="60" w:line="240" w:lineRule="auto"/>
      </w:pPr>
      <w:r>
        <w:rPr>
          <w:b/>
          <w:color w:val="008000"/>
          <w:sz w:val="18"/>
        </w:rPr>
        <w:t xml:space="preserve">• Key Modernization Drivers: </w:t>
      </w:r>
      <w:r>
        <w:rPr>
          <w:color w:val="1F1F1F"/>
          <w:sz w:val="18"/>
        </w:rPr>
        <w:t xml:space="preserve">Transitioning from fragmented spreadsheets to integrated analytics pipelines, automated data anomaly detection, and executive BI dashboards.</w:t>
      </w:r>
    </w:p>
    <w:p>
      <w:pPr>
        <w:spacing w:before="100" w:after="40" w:line="240" w:lineRule="auto"/>
        <w:pBdr>
          <w:bottom w:val="single" w:sz="6" w:space="4" w:color="17365D"/>
        </w:pBdr>
      </w:pPr>
      <w:r>
        <w:rPr>
          <w:rFonts w:ascii="Cambria" w:hAnsi="Cambria"/>
          <w:b/>
          <w:color w:val="17365D"/>
          <w:sz w:val="20"/>
        </w:rPr>
        <w:t xml:space="preserve">2. CANDIDATE FIT NARRATIVE &amp; POSITIONING STATEMENT</w:t>
      </w:r>
    </w:p>
    <w:p>
      <w:pPr>
        <w:spacing w:before="0" w:after="60" w:line="240" w:lineRule="auto"/>
      </w:pPr>
      <w:r>
        <w:rPr>
          <w:color w:val="1F1F1F"/>
          <w:sz w:val="19"/>
        </w:rPr>
        <w:t xml:space="preserve">Ebenezer J. Rolston is a senior federal program analyst with 20+ years of experience across the Department of the Interior (DOI IBC) and commercial financial sectors. Operating at a GS-13 equivalent level, he combines deep expertise in federal ERP and procurement data (SAP FBMS, Unison PRISM, SQL) with a University of Denver Graduate Certificate in AI Strategy to deliver clean, auditable program intelligence and high-impact executive briefings.</w:t>
      </w:r>
    </w:p>
    <w:p>
      <w:pPr>
        <w:spacing w:before="100" w:after="40" w:line="240" w:lineRule="auto"/>
        <w:pBdr>
          <w:bottom w:val="single" w:sz="6" w:space="4" w:color="17365D"/>
        </w:pBdr>
      </w:pPr>
      <w:r>
        <w:rPr>
          <w:rFonts w:ascii="Cambria" w:hAnsi="Cambria"/>
          <w:b/>
          <w:color w:val="17365D"/>
          <w:sz w:val="20"/>
        </w:rPr>
        <w:t xml:space="preserve">3. ELEVATOR PITCH (60–90 SECONDS SPOKEN)</w:t>
      </w:r>
    </w:p>
    <w:p>
      <w:pPr>
        <w:spacing w:before="0" w:after="80" w:line="240" w:lineRule="auto"/>
      </w:pPr>
      <w:r>
        <w:rPr>
          <w:i/>
          <w:color w:val="1F1F1F"/>
          <w:sz w:val="19"/>
        </w:rPr>
        <w:t xml:space="preserve">"Good morning. I’m Ebenezer Rolston. Over the past 20 years, I’ve worked at the intersection of federal business systems, data analysis, and program operations—most notably spending 14 years supporting the Department of the Interior’s Acquisition Directorate right here in the Denver area. In that role, functioning at a GS-13 operational level, my core focus was transforming fragmented transactional data into clear, actionable program decisions. I pulled and analyzed SAP financial reports using transactions like FBL1N, ME2M, and FAGLL03, engineered custom SQL reconciliation queries, and systematically audited contract obligations. That work reclaimed over $1 million annually in idle government funds and resolved discrepancies between contracting officials, program managers, and vendors. I also served as the ETL Architect for DOI’s enterprise-wide FBMS conversion, harmonizing legacy databases across bureaus into a unified SAP system—earning two Interior Department awards. Recently, I paired that federal foundation with a Graduate Certificate in AI Strategy from the University of Denver, developing data roadmaps, risk governance models, and predictive analytics frameworks. I am drawn to GSA FAS and the Lakewood team because your mission touches every civilian agency. Whether analyzing vehicle lifecycle trends, evaluating supplier metrics, or optimizing program spend, I bring the data discipline, federal systems familiarity, and analytical integrity needed to deliver immediate value on day one."</w:t>
      </w:r>
    </w:p>
    <w:p>
      <w:pPr>
        <w:spacing w:before="100" w:after="40" w:line="240" w:lineRule="auto"/>
        <w:pBdr>
          <w:bottom w:val="single" w:sz="6" w:space="4" w:color="17365D"/>
        </w:pBdr>
      </w:pPr>
      <w:r>
        <w:rPr>
          <w:rFonts w:ascii="Cambria" w:hAnsi="Cambria"/>
          <w:b/>
          <w:color w:val="17365D"/>
          <w:sz w:val="20"/>
        </w:rPr>
        <w:t xml:space="preserve">4. HR &amp; RECRUITER QUESTION BANK</w:t>
      </w:r>
    </w:p>
    <w:p>
      <w:pPr>
        <w:spacing w:before="0" w:after="30" w:line="240" w:lineRule="auto"/>
      </w:pPr>
      <w:r>
        <w:rPr>
          <w:b/>
          <w:color w:val="17365D"/>
          <w:sz w:val="18"/>
        </w:rPr>
        <w:t xml:space="preserve">• Q: Why GSA FAS? </w:t>
      </w:r>
      <w:r>
        <w:rPr>
          <w:color w:val="1F1F1F"/>
          <w:sz w:val="18"/>
        </w:rPr>
        <w:t xml:space="preserve">Scale of mission ($100B buying power, 230K vehicles), local Denver Federal Center presence, and strong alignment with federal data modernization goals.</w:t>
      </w:r>
    </w:p>
    <w:p>
      <w:pPr>
        <w:spacing w:before="0" w:after="30" w:line="240" w:lineRule="auto"/>
      </w:pPr>
      <w:r>
        <w:rPr>
          <w:b/>
          <w:color w:val="17365D"/>
          <w:sz w:val="18"/>
        </w:rPr>
        <w:t xml:space="preserve">• Q: Salary Expectations: </w:t>
      </w:r>
      <w:r>
        <w:rPr>
          <w:color w:val="1F1F1F"/>
          <w:sz w:val="18"/>
        </w:rPr>
        <w:t xml:space="preserve">GS-13 scale ($108,173 - $172,980); competitive step placement commensurate with 14+ years GS-13-equivalent federal systems delivery and Denver locality.</w:t>
      </w:r>
    </w:p>
    <w:p>
      <w:pPr>
        <w:spacing w:before="0" w:after="30" w:line="240" w:lineRule="auto"/>
      </w:pPr>
      <w:r>
        <w:rPr>
          <w:b/>
          <w:color w:val="17365D"/>
          <w:sz w:val="18"/>
        </w:rPr>
        <w:t xml:space="preserve">• Q: Location &amp; Work Posture: </w:t>
      </w:r>
      <w:r>
        <w:rPr>
          <w:color w:val="1F1F1F"/>
          <w:sz w:val="18"/>
        </w:rPr>
        <w:t xml:space="preserve">Lakewood, CO preferred (local resident); open to hybrid, telework, or full onsite schedules at the Denver Federal Center.</w:t>
      </w:r>
    </w:p>
    <w:p>
      <w:pPr>
        <w:spacing w:before="0" w:after="60" w:line="240" w:lineRule="auto"/>
      </w:pPr>
      <w:r>
        <w:rPr>
          <w:b/>
          <w:color w:val="17365D"/>
          <w:sz w:val="18"/>
        </w:rPr>
        <w:t xml:space="preserve">• Q: Clearance Status: </w:t>
      </w:r>
      <w:r>
        <w:rPr>
          <w:color w:val="1F1F1F"/>
          <w:sz w:val="18"/>
        </w:rPr>
        <w:t xml:space="preserve">Previously held Public Trust at DOI; background is clear and ready for immediate e-App / SF-85P processing.</w:t>
      </w:r>
    </w:p>
    <w:p>
      <w:pPr>
        <w:spacing w:before="100" w:after="40" w:line="240" w:lineRule="auto"/>
        <w:pBdr>
          <w:bottom w:val="single" w:sz="6" w:space="4" w:color="17365D"/>
        </w:pBdr>
      </w:pPr>
      <w:r>
        <w:rPr>
          <w:rFonts w:ascii="Cambria" w:hAnsi="Cambria"/>
          <w:b/>
          <w:color w:val="17365D"/>
          <w:sz w:val="20"/>
        </w:rPr>
        <w:t xml:space="preserve">5. DEEP TECHNICAL &amp; STRATEGY QUESTION BANK</w:t>
      </w:r>
    </w:p>
    <w:p>
      <w:pPr>
        <w:spacing w:before="0" w:after="30" w:line="240" w:lineRule="auto"/>
      </w:pPr>
      <w:r>
        <w:rPr>
          <w:b/>
          <w:color w:val="17365D"/>
          <w:sz w:val="18"/>
        </w:rPr>
        <w:t xml:space="preserve">Q1: How do you approach analyzing complex datasets to support program decisions?</w:t>
      </w:r>
    </w:p>
    <w:p>
      <w:pPr>
        <w:spacing w:before="0" w:after="40" w:line="240" w:lineRule="auto"/>
      </w:pPr>
      <w:r>
        <w:rPr>
          <w:color w:val="1F1F1F"/>
          <w:sz w:val="18"/>
        </w:rPr>
        <w:t xml:space="preserve">Framework: 1) Define operational objectives with leadership; 2) Profile raw SQL/ERP tables for nulls and anomalies; 3) Standardize and cleanse data schemas; 4) Perform multi-dimensional exploratory slicing; 5) Synthesize findings into executive briefing decks with clear, risk-adjusted recommendations.</w:t>
      </w:r>
    </w:p>
    <w:p>
      <w:pPr>
        <w:spacing w:before="0" w:after="30" w:line="240" w:lineRule="auto"/>
      </w:pPr>
      <w:r>
        <w:rPr>
          <w:b/>
          <w:color w:val="17365D"/>
          <w:sz w:val="18"/>
        </w:rPr>
        <w:t xml:space="preserve">Q2: How would you structure a vehicle lifecycle metrics dashboard?</w:t>
      </w:r>
    </w:p>
    <w:p>
      <w:pPr>
        <w:spacing w:before="0" w:after="40" w:line="240" w:lineRule="auto"/>
      </w:pPr>
      <w:r>
        <w:rPr>
          <w:color w:val="1F1F1F"/>
          <w:sz w:val="18"/>
        </w:rPr>
        <w:t xml:space="preserve">Framework: Architecture organized around 4 stages: Procurement/Upfitting -&gt; Operational Utilization (cost per mile, fuel/kWh) -&gt; Mid-Life Maintenance -&gt; End-of-Life Remarketing/Disposal. Connect underlying SQL pipelines to ensure reliable data refresh.</w:t>
      </w:r>
    </w:p>
    <w:p>
      <w:pPr>
        <w:spacing w:before="0" w:after="30" w:line="240" w:lineRule="auto"/>
      </w:pPr>
      <w:r>
        <w:rPr>
          <w:b/>
          <w:color w:val="17365D"/>
          <w:sz w:val="18"/>
        </w:rPr>
        <w:t xml:space="preserve">Q3: How do you handle poor or inconsistent source data?</w:t>
      </w:r>
    </w:p>
    <w:p>
      <w:pPr>
        <w:spacing w:before="0" w:after="60" w:line="240" w:lineRule="auto"/>
      </w:pPr>
      <w:r>
        <w:rPr>
          <w:color w:val="1F1F1F"/>
          <w:sz w:val="18"/>
        </w:rPr>
        <w:t xml:space="preserve">Framework: Transparently flag data discrepancies early; run automated SQL assertion scripts (detecting negative mileage or orphaned PO lines); build crosswalk mapping tables to resolve issues systematically rather than through manual one-off edits.</w:t>
      </w:r>
    </w:p>
    <w:p>
      <w:pPr>
        <w:spacing w:before="100" w:after="40" w:line="240" w:lineRule="auto"/>
        <w:pBdr>
          <w:bottom w:val="single" w:sz="6" w:space="4" w:color="17365D"/>
        </w:pBdr>
      </w:pPr>
      <w:r>
        <w:rPr>
          <w:rFonts w:ascii="Cambria" w:hAnsi="Cambria"/>
          <w:b/>
          <w:color w:val="17365D"/>
          <w:sz w:val="20"/>
        </w:rPr>
        <w:t xml:space="preserve">6. CHALLENGE QUESTION BANK</w:t>
      </w:r>
    </w:p>
    <w:p>
      <w:pPr>
        <w:spacing w:before="0" w:after="30" w:line="240" w:lineRule="auto"/>
      </w:pPr>
      <w:r>
        <w:rPr>
          <w:b/>
          <w:color w:val="C00000"/>
          <w:sz w:val="18"/>
        </w:rPr>
        <w:t xml:space="preserve">Challenge: "You don't have direct fleet or vehicle management experience."</w:t>
      </w:r>
    </w:p>
    <w:p>
      <w:pPr>
        <w:spacing w:before="0" w:after="40" w:line="240" w:lineRule="auto"/>
      </w:pPr>
      <w:r>
        <w:rPr>
          <w:color w:val="1F1F1F"/>
          <w:sz w:val="18"/>
        </w:rPr>
        <w:t xml:space="preserve">Answer: The analytical methodologies—tracking capital asset lifecycles, monitoring vendor SLAs, auditing maintenance costs, and evaluating deobligations—are identical to the 14 years of federal asset and contract analysis I performed at DOI. Furthermore, my DU logistics roadmap analyzed fleet routing and maintenance data streams. The core of a GS-13 analyst is data rigor and stakeholder alignment.</w:t>
      </w:r>
    </w:p>
    <w:p>
      <w:pPr>
        <w:spacing w:before="0" w:after="30" w:line="240" w:lineRule="auto"/>
      </w:pPr>
      <w:r>
        <w:rPr>
          <w:b/>
          <w:color w:val="C00000"/>
          <w:sz w:val="18"/>
        </w:rPr>
        <w:t xml:space="preserve">Challenge: "Your Tableau experience is exploratory rather than enterprise admin."</w:t>
      </w:r>
    </w:p>
    <w:p>
      <w:pPr>
        <w:spacing w:before="0" w:after="60" w:line="240" w:lineRule="auto"/>
      </w:pPr>
      <w:r>
        <w:rPr>
          <w:color w:val="1F1F1F"/>
          <w:sz w:val="18"/>
        </w:rPr>
        <w:t xml:space="preserve">Answer: Exactly. My strength is foundational data engineering: writing the SQL queries, structuring clean relational tables, and validating data integrity before it reaches the BI layer. I build visual mockups and partner closely with BI developers to translate leadership requirements into production dashboards.</w:t>
      </w:r>
    </w:p>
    <w:p>
      <w:pPr>
        <w:spacing w:before="100" w:after="40" w:line="240" w:lineRule="auto"/>
        <w:pBdr>
          <w:bottom w:val="single" w:sz="6" w:space="4" w:color="17365D"/>
        </w:pBdr>
      </w:pPr>
      <w:r>
        <w:rPr>
          <w:rFonts w:ascii="Cambria" w:hAnsi="Cambria"/>
          <w:b/>
          <w:color w:val="17365D"/>
          <w:sz w:val="20"/>
        </w:rPr>
        <w:t xml:space="preserve">7. VERIFIED STAR STORY BANK</w:t>
      </w:r>
    </w:p>
    <w:p>
      <w:pPr>
        <w:spacing w:before="0" w:after="20" w:line="240" w:lineRule="auto"/>
      </w:pPr>
      <w:r>
        <w:rPr>
          <w:b/>
          <w:color w:val="17365D"/>
          <w:sz w:val="18"/>
        </w:rPr>
        <w:t xml:space="preserve">Story 1: Remedy Ticket Trend Analysis &amp; User Enablement</w:t>
      </w:r>
    </w:p>
    <w:p>
      <w:pPr>
        <w:spacing w:before="0" w:after="30" w:line="240" w:lineRule="auto"/>
      </w:pPr>
      <w:r>
        <w:rPr>
          <w:color w:val="1F1F1F"/>
          <w:sz w:val="18"/>
        </w:rPr>
        <w:t xml:space="preserve">Situation: Support team faced 5-10 escalations daily in PRISM/FBMS. Task: Isolate root causes. Action: Extracted months of Remedy ticket records, executed trend analysis, identified invoice routing confusion, and delivered cohort training for 85+ users. Result: Dramatically cut repeat ticket volume.</w:t>
      </w:r>
    </w:p>
    <w:p>
      <w:pPr>
        <w:spacing w:before="0" w:after="20" w:line="240" w:lineRule="auto"/>
      </w:pPr>
      <w:r>
        <w:rPr>
          <w:b/>
          <w:color w:val="17365D"/>
          <w:sz w:val="18"/>
        </w:rPr>
        <w:t xml:space="preserve">Story 2: SAP Financial Reporting &amp; $1M+ Annual Funds Reclamation</w:t>
      </w:r>
    </w:p>
    <w:p>
      <w:pPr>
        <w:spacing w:before="0" w:after="30" w:line="240" w:lineRule="auto"/>
      </w:pPr>
      <w:r>
        <w:rPr>
          <w:color w:val="1F1F1F"/>
          <w:sz w:val="18"/>
        </w:rPr>
        <w:t xml:space="preserve">Situation: Millions in unliquidated obligations sat dormant in FBMS. Task: Track obligations and recover funds. Action: Pulled SAP reports (FBL1N, ME2M, FAGLL03, ZFI), cross-matched PO lines against vendor IPAC files, and ran deobligations. Result: Reclaimed $1M+ annually in recurring government savings.</w:t>
      </w:r>
    </w:p>
    <w:p>
      <w:pPr>
        <w:spacing w:before="0" w:after="20" w:line="240" w:lineRule="auto"/>
      </w:pPr>
      <w:r>
        <w:rPr>
          <w:b/>
          <w:color w:val="17365D"/>
          <w:sz w:val="18"/>
        </w:rPr>
        <w:t xml:space="preserve">Story 3: DOI FBMS Department-Wide Data Conversion (ETL Architect)</w:t>
      </w:r>
    </w:p>
    <w:p>
      <w:pPr>
        <w:spacing w:before="0" w:after="30" w:line="240" w:lineRule="auto"/>
      </w:pPr>
      <w:r>
        <w:rPr>
          <w:color w:val="1F1F1F"/>
          <w:sz w:val="18"/>
        </w:rPr>
        <w:t xml:space="preserve">Situation: Disparate legacy procurement databases across DOI bureaus. Task: Unify into SAP FBMS. Action: Built Oracle SQL translation rules, profiled historical records, and led cutover testing across bureaus. Result: Successful Department-wide conversion; earned 2 DOI awards.</w:t>
      </w:r>
    </w:p>
    <w:p>
      <w:pPr>
        <w:spacing w:before="0" w:after="20" w:line="240" w:lineRule="auto"/>
      </w:pPr>
      <w:r>
        <w:rPr>
          <w:b/>
          <w:color w:val="17365D"/>
          <w:sz w:val="18"/>
        </w:rPr>
        <w:t xml:space="preserve">Story 4: Citibank Identity Scoring Model (Early AI/ML Analytics)</w:t>
      </w:r>
    </w:p>
    <w:p>
      <w:pPr>
        <w:spacing w:before="0" w:after="60" w:line="240" w:lineRule="auto"/>
      </w:pPr>
      <w:r>
        <w:rPr>
          <w:color w:val="1F1F1F"/>
          <w:sz w:val="18"/>
        </w:rPr>
        <w:t xml:space="preserve">Situation: Citibank experienced credit application fraud. Task: Build real-time scoring model. Action: Engineered anomaly-detection algorithms evaluating relational application streams. Result: Stopped millions in fraudulent account losses and demonstrated system to Congress.</w:t>
      </w:r>
    </w:p>
    <w:p>
      <w:pPr>
        <w:spacing w:before="100" w:after="40" w:line="240" w:lineRule="auto"/>
        <w:pBdr>
          <w:bottom w:val="single" w:sz="6" w:space="4" w:color="17365D"/>
        </w:pBdr>
      </w:pPr>
      <w:r>
        <w:rPr>
          <w:rFonts w:ascii="Cambria" w:hAnsi="Cambria"/>
          <w:b/>
          <w:color w:val="17365D"/>
          <w:sz w:val="20"/>
        </w:rPr>
        <w:t xml:space="preserve">8. QUESTIONS CANDIDATE SHOULD ASK INTERVIEWER</w:t>
      </w:r>
    </w:p>
    <w:p>
      <w:pPr>
        <w:spacing w:before="0" w:after="20" w:line="240" w:lineRule="auto"/>
        <w:ind w:left="288" w:hanging="180"/>
      </w:pPr>
      <w:r>
        <w:rPr>
          <w:b/>
          <w:color w:val="17365D"/>
          <w:sz w:val="20"/>
        </w:rPr>
        <w:t xml:space="preserve">1. </w:t>
      </w:r>
      <w:r>
        <w:rPr>
          <w:color w:val="1F1F1F"/>
          <w:sz w:val="18"/>
        </w:rPr>
        <w:t xml:space="preserve">"How is the GSA FAS data analytics team currently structured between operational ad-hoc reporting and long-term BI modernization?"</w:t>
      </w:r>
    </w:p>
    <w:p>
      <w:pPr>
        <w:spacing w:before="0" w:after="20" w:line="240" w:lineRule="auto"/>
        <w:ind w:left="288" w:hanging="180"/>
      </w:pPr>
      <w:r>
        <w:rPr>
          <w:b/>
          <w:color w:val="17365D"/>
          <w:sz w:val="20"/>
        </w:rPr>
        <w:t xml:space="preserve">2. </w:t>
      </w:r>
      <w:r>
        <w:rPr>
          <w:color w:val="1F1F1F"/>
          <w:sz w:val="18"/>
        </w:rPr>
        <w:t xml:space="preserve">"What are the primary data platforms and tools (e.g., GSA Fleet Drive-thru, FAS BI, Oracle, Tableau) this role interacts with most heavily?"</w:t>
      </w:r>
    </w:p>
    <w:p>
      <w:pPr>
        <w:spacing w:before="0" w:after="20" w:line="240" w:lineRule="auto"/>
        <w:ind w:left="288" w:hanging="180"/>
      </w:pPr>
      <w:r>
        <w:rPr>
          <w:b/>
          <w:color w:val="17365D"/>
          <w:sz w:val="20"/>
        </w:rPr>
        <w:t xml:space="preserve">3. </w:t>
      </w:r>
      <w:r>
        <w:rPr>
          <w:color w:val="1F1F1F"/>
          <w:sz w:val="18"/>
        </w:rPr>
        <w:t xml:space="preserve">"What are the top 1 or 2 operational data challenges currently facing the Lakewood analytics group—for instance, data latency or tracking the ZEV transition?"</w:t>
      </w:r>
    </w:p>
    <w:p>
      <w:pPr>
        <w:spacing w:before="0" w:after="60" w:line="240" w:lineRule="auto"/>
        <w:ind w:left="288" w:hanging="180"/>
      </w:pPr>
      <w:r>
        <w:rPr>
          <w:b/>
          <w:color w:val="17365D"/>
          <w:sz w:val="20"/>
        </w:rPr>
        <w:t xml:space="preserve">4. </w:t>
      </w:r>
      <w:r>
        <w:rPr>
          <w:color w:val="1F1F1F"/>
          <w:sz w:val="18"/>
        </w:rPr>
        <w:t xml:space="preserve">"How does leadership measure the success and impact of a GS-13 Program Analyst during their first 90 to 180 days?"</w:t>
      </w:r>
    </w:p>
    <w:p>
      <w:pPr>
        <w:spacing w:before="100" w:after="40" w:line="240" w:lineRule="auto"/>
        <w:pBdr>
          <w:bottom w:val="single" w:sz="6" w:space="4" w:color="17365D"/>
        </w:pBdr>
      </w:pPr>
      <w:r>
        <w:rPr>
          <w:rFonts w:ascii="Cambria" w:hAnsi="Cambria"/>
          <w:b/>
          <w:color w:val="17365D"/>
          <w:sz w:val="20"/>
        </w:rPr>
        <w:t xml:space="preserve">9. 30 / 60 / 90-DAY ONBOARDING PLAN</w:t>
      </w:r>
    </w:p>
    <w:p>
      <w:pPr>
        <w:spacing w:before="0" w:after="20" w:line="240" w:lineRule="auto"/>
      </w:pPr>
      <w:r>
        <w:rPr>
          <w:b/>
          <w:color w:val="17365D"/>
          <w:sz w:val="18"/>
        </w:rPr>
        <w:t xml:space="preserve">• Days 1–30 (Discovery &amp; Systems): </w:t>
      </w:r>
      <w:r>
        <w:rPr>
          <w:color w:val="1F1F1F"/>
          <w:sz w:val="18"/>
        </w:rPr>
        <w:t xml:space="preserve">Obtain GSA credentials; map FAS database tables; shadow senior analysts on current recurring report generation; catalog data sources.</w:t>
      </w:r>
    </w:p>
    <w:p>
      <w:pPr>
        <w:spacing w:before="0" w:after="20" w:line="240" w:lineRule="auto"/>
      </w:pPr>
      <w:r>
        <w:rPr>
          <w:b/>
          <w:color w:val="17365D"/>
          <w:sz w:val="18"/>
        </w:rPr>
        <w:t xml:space="preserve">• Days 31–60 (Operational Delivery): </w:t>
      </w:r>
      <w:r>
        <w:rPr>
          <w:color w:val="1F1F1F"/>
          <w:sz w:val="18"/>
        </w:rPr>
        <w:t xml:space="preserve">Assume ownership of scheduled operational data extracts; audit SQL scripts to optimize performance; deliver initial briefings to branch leadership.</w:t>
      </w:r>
    </w:p>
    <w:p>
      <w:pPr>
        <w:spacing w:before="0" w:after="60" w:line="240" w:lineRule="auto"/>
      </w:pPr>
      <w:r>
        <w:rPr>
          <w:b/>
          <w:color w:val="17365D"/>
          <w:sz w:val="18"/>
        </w:rPr>
        <w:t xml:space="preserve">• Days 61–90 (Optimization &amp; Modernization): </w:t>
      </w:r>
      <w:r>
        <w:rPr>
          <w:color w:val="1F1F1F"/>
          <w:sz w:val="18"/>
        </w:rPr>
        <w:t xml:space="preserve">Implement automated SQL anomaly validation checks; propose dashboard prototypes for lifecycle milestones; deliver deep-dive analytical brief on fleet optimization.</w:t>
      </w:r>
    </w:p>
    <w:p>
      <w:pPr>
        <w:spacing w:before="100" w:after="40" w:line="240" w:lineRule="auto"/>
        <w:pBdr>
          <w:bottom w:val="single" w:sz="6" w:space="4" w:color="17365D"/>
        </w:pBdr>
      </w:pPr>
      <w:r>
        <w:rPr>
          <w:rFonts w:ascii="Cambria" w:hAnsi="Cambria"/>
          <w:b/>
          <w:color w:val="17365D"/>
          <w:sz w:val="20"/>
        </w:rPr>
        <w:t xml:space="preserve">10. PRACTICAL GUIDANCE &amp; CURATED READING LIST</w:t>
      </w:r>
    </w:p>
    <w:p>
      <w:pPr>
        <w:spacing w:before="0" w:after="20" w:line="240" w:lineRule="auto"/>
      </w:pPr>
      <w:r>
        <w:rPr>
          <w:b/>
          <w:color w:val="17365D"/>
          <w:sz w:val="18"/>
        </w:rPr>
        <w:t xml:space="preserve">• GSA Federal Acquisition Service: </w:t>
      </w:r>
      <w:hyperlink r:id="rIdHyperlink1">
        <w:r>
          <w:rPr>
            <w:color w:val="1F1F1F"/>
            <w:sz w:val="18"/>
            <w:u w:val="single"/>
          </w:rPr>
          <w:t xml:space="preserve">https://www.gsa.gov/about-us/organization/federal-acquisition-service</w:t>
        </w:r>
      </w:hyperlink>
    </w:p>
    <w:p>
      <w:pPr>
        <w:spacing w:before="0" w:after="20" w:line="240" w:lineRule="auto"/>
      </w:pPr>
      <w:r>
        <w:rPr>
          <w:b/>
          <w:color w:val="17365D"/>
          <w:sz w:val="18"/>
        </w:rPr>
        <w:t xml:space="preserve">• GSA Fleet Management &amp; Leasing: </w:t>
      </w:r>
      <w:hyperlink r:id="rIdHyperlink2">
        <w:r>
          <w:rPr>
            <w:color w:val="1F1F1F"/>
            <w:sz w:val="18"/>
            <w:u w:val="single"/>
          </w:rPr>
          <w:t xml:space="preserve">https://www.gsa.gov/buy-through-us/purchasing-programs/gsa-fleet</w:t>
        </w:r>
      </w:hyperlink>
    </w:p>
    <w:p>
      <w:pPr>
        <w:spacing w:before="0" w:after="20" w:line="240" w:lineRule="auto"/>
      </w:pPr>
      <w:r>
        <w:rPr>
          <w:b/>
          <w:color w:val="17365D"/>
          <w:sz w:val="18"/>
        </w:rPr>
        <w:t xml:space="preserve">• GSA Data Strategy: </w:t>
      </w:r>
      <w:hyperlink r:id="rIdHyperlink3">
        <w:r>
          <w:rPr>
            <w:color w:val="1F1F1F"/>
            <w:sz w:val="18"/>
            <w:u w:val="single"/>
          </w:rPr>
          <w:t xml:space="preserve">https://www.gsa.gov/about-us/organization/office-of-the-chief-information-officer/gsa-data-strategy</w:t>
        </w:r>
      </w:hyperlink>
    </w:p>
    <w:p>
      <w:pPr>
        <w:spacing w:before="0" w:after="20" w:line="240" w:lineRule="auto"/>
      </w:pPr>
      <w:r>
        <w:rPr>
          <w:b/>
          <w:color w:val="17365D"/>
          <w:sz w:val="18"/>
        </w:rPr>
        <w:t xml:space="preserve">• NIST AI Risk Management Framework: </w:t>
      </w:r>
      <w:hyperlink r:id="rIdHyperlink4">
        <w:r>
          <w:rPr>
            <w:color w:val="1F1F1F"/>
            <w:sz w:val="18"/>
            <w:u w:val="single"/>
          </w:rPr>
          <w:t xml:space="preserve">https://www.nist.gov/itl/ai-risk-management-framework</w:t>
        </w:r>
      </w:hyperlink>
    </w:p>
    <w:p>
      <w:pPr>
        <w:spacing w:before="0" w:after="40" w:line="240" w:lineRule="auto"/>
      </w:pPr>
      <w:r>
        <w:rPr>
          <w:b/>
          <w:color w:val="17365D"/>
          <w:sz w:val="18"/>
        </w:rPr>
        <w:t xml:space="preserve">• AI Guardians Portal: </w:t>
      </w:r>
      <w:hyperlink r:id="rIdHyperlink5">
        <w:r>
          <w:rPr>
            <w:color w:val="1F1F1F"/>
            <w:sz w:val="18"/>
            <w:u w:val="single"/>
          </w:rPr>
          <w:t xml:space="preserve">https://portal.aiguardiansllc.us/</w:t>
        </w:r>
      </w:hyperlink>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gsa.gov/about-us/organization/federal-acquisition-service" TargetMode="External"/>
  <Relationship Id="rIdHyperlink2" Type="http://schemas.openxmlformats.org/officeDocument/2006/relationships/hyperlink" Target="https://www.gsa.gov/buy-through-us/purchasing-programs/gsa-fleet" TargetMode="External"/>
  <Relationship Id="rIdHyperlink3" Type="http://schemas.openxmlformats.org/officeDocument/2006/relationships/hyperlink" Target="https://www.gsa.gov/about-us/organization/office-of-the-chief-information-officer/gsa-data-strategy" TargetMode="External"/>
  <Relationship Id="rIdHyperlink4" Type="http://schemas.openxmlformats.org/officeDocument/2006/relationships/hyperlink" Target="https://www.nist.gov/itl/ai-risk-management-framework" TargetMode="External"/>
  <Relationship Id="rIdHyperlink5" Type="http://schemas.openxmlformats.org/officeDocument/2006/relationships/hyperlink" Target="https://portal.aiguardiansllc.us/" TargetMode="External"/>
</Relationships>
</file>