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40" w:line="240" w:lineRule="auto"/>
      </w:pPr>
      <w:r>
        <w:rPr>
          <w:b/>
          <w:color w:val="17365D"/>
          <w:sz w:val="24"/>
        </w:rPr>
        <w:t xml:space="preserve">Skill Gap Analysis: Management Analyst — KaiHonua LLC</w:t>
      </w:r>
    </w:p>
    <w:p>
      <w:pPr>
        <w:spacing w:before="0" w:after="100" w:line="240" w:lineRule="auto"/>
        <w:pBdr>
          <w:bottom w:val="single" w:sz="6" w:space="4" w:color="17365D"/>
        </w:pBdr>
      </w:pPr>
      <w:r>
        <w:rPr>
          <w:b/>
          <w:color w:val="17365D"/>
          <w:sz w:val="19"/>
        </w:rPr>
        <w:t xml:space="preserve">Candidate: Ebenezer J. Rolston • Match Score: 92/100 • Interview Probability: 88/100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1. FIT SUMMARY</w:t>
      </w:r>
    </w:p>
    <w:p>
      <w:pPr>
        <w:spacing w:before="0" w:after="100" w:line="240" w:lineRule="auto"/>
      </w:pPr>
      <w:r>
        <w:rPr>
          <w:color w:val="1F1F1F"/>
          <w:sz w:val="19"/>
        </w:rPr>
        <w:t xml:space="preserve">Ebenezer J. Rolston offers 20+ years of proven federal management analyst and enterprise transformation experience, including 14 years directly supporting the IBC Acquisition Directorate in Denver, CO. His background in FBMS/PRISM administration, funds realignment ($1M+ reclaimed annually), operational cohort training for 85+ users, and AI-driven process optimization aligns seamlessly with KaiHonua LLC's requirements.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2. SKILL MATCH MATRIX</w:t>
      </w:r>
    </w:p>
    <w:p>
      <w:pPr>
        <w:spacing w:before="0" w:after="40" w:line="240" w:lineRule="auto"/>
      </w:pPr>
      <w:r>
        <w:rPr>
          <w:b/>
          <w:color w:val="008000"/>
          <w:sz w:val="18"/>
        </w:rPr>
        <w:t xml:space="preserve">• Federal Management &amp; Workflow Analysis: </w:t>
      </w:r>
      <w:r>
        <w:rPr>
          <w:color w:val="1F1F1F"/>
          <w:sz w:val="18"/>
        </w:rPr>
        <w:t xml:space="preserve">Matched (GS-13 Lead, US Dept of Interior)</w:t>
      </w:r>
    </w:p>
    <w:p>
      <w:pPr>
        <w:spacing w:before="0" w:after="40" w:line="240" w:lineRule="auto"/>
      </w:pPr>
      <w:r>
        <w:rPr>
          <w:b/>
          <w:color w:val="008000"/>
          <w:sz w:val="18"/>
        </w:rPr>
        <w:t xml:space="preserve">• Unison PRISM &amp; SAP FBMS Administration: </w:t>
      </w:r>
      <w:r>
        <w:rPr>
          <w:color w:val="1F1F1F"/>
          <w:sz w:val="18"/>
        </w:rPr>
        <w:t xml:space="preserve">Matched (7 yrs PRISM Admin, 14 yrs Escalation Lead)</w:t>
      </w:r>
    </w:p>
    <w:p>
      <w:pPr>
        <w:spacing w:before="0" w:after="40" w:line="240" w:lineRule="auto"/>
      </w:pPr>
      <w:r>
        <w:rPr>
          <w:b/>
          <w:color w:val="008000"/>
          <w:sz w:val="18"/>
        </w:rPr>
        <w:t xml:space="preserve">• Funds Realignment &amp; Invoice Reconciliation: </w:t>
      </w:r>
      <w:r>
        <w:rPr>
          <w:color w:val="1F1F1F"/>
          <w:sz w:val="18"/>
        </w:rPr>
        <w:t xml:space="preserve">Matched (Reclaimed $1M+ annually)</w:t>
      </w:r>
    </w:p>
    <w:p>
      <w:pPr>
        <w:spacing w:before="0" w:after="40" w:line="240" w:lineRule="auto"/>
      </w:pPr>
      <w:r>
        <w:rPr>
          <w:b/>
          <w:color w:val="008000"/>
          <w:sz w:val="18"/>
        </w:rPr>
        <w:t xml:space="preserve">• AI Strategy &amp; Workflow Automation: </w:t>
      </w:r>
      <w:r>
        <w:rPr>
          <w:color w:val="1F1F1F"/>
          <w:sz w:val="18"/>
        </w:rPr>
        <w:t xml:space="preserve">Matched (Graduate Certificate, University of Denver)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