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b/>
          <w:color w:val="17365D"/>
          <w:sz w:val="36"/>
        </w:rPr>
        <w:t xml:space="preserve">Ebenezer J. Rolston</w:t>
      </w:r>
    </w:p>
    <w:p>
      <w:pPr>
        <w:jc w:val="center"/>
        <w:spacing w:before="0" w:after="40" w:line="240" w:lineRule="auto"/>
      </w:pPr>
      <w:r>
        <w:rPr>
          <w:b/>
          <w:color w:val="17365D"/>
          <w:sz w:val="19"/>
        </w:rPr>
        <w:t xml:space="preserve">AI STRATEGY ANALYST | GENAI STRATEGY • EVALUATION • BUSINESS VALUE</w:t>
      </w:r>
    </w:p>
    <w:p>
      <w:pPr>
        <w:jc w:val="center"/>
        <w:spacing w:before="0" w:after="100" w:line="240" w:lineRule="auto"/>
        <w:pBdr>
          <w:bottom w:val="single" w:sz="6" w:space="4" w:color="17365D"/>
        </w:pBdr>
      </w:pPr>
      <w:r>
        <w:rPr>
          <w:color w:val="1F1F1F"/>
          <w:sz w:val="18"/>
        </w:rPr>
        <w:t xml:space="preserve">Denver, CO • Open to Hybrid • </w:t>
      </w:r>
      <w:r>
        <w:rPr>
          <w:color w:val="1F1F1F"/>
          <w:sz w:val="18"/>
        </w:rPr>
        <w:t xml:space="preserve">eberolston@yahoo.com</w:t>
      </w:r>
      <w:r>
        <w:rPr>
          <w:color w:val="1F1F1F"/>
          <w:sz w:val="18"/>
        </w:rPr>
        <w:t xml:space="preserve"> • 501-307-3237 • </w:t>
      </w:r>
      <w:hyperlink r:id="rIdHyperlink1">
        <w:r>
          <w:rPr>
            <w:b/>
            <w:color w:val="17365D"/>
            <w:sz w:val="18"/>
            <w:u w:val="single"/>
          </w:rPr>
          <w:t xml:space="preserve">LinkedIn</w:t>
        </w:r>
      </w:hyperlink>
      <w:r>
        <w:rPr>
          <w:color w:val="1F1F1F"/>
          <w:sz w:val="18"/>
        </w:rPr>
        <w:t xml:space="preserve"> • </w:t>
      </w:r>
      <w:hyperlink r:id="rIdHyperlink2">
        <w:r>
          <w:rPr>
            <w:b/>
            <w:color w:val="17365D"/>
            <w:sz w:val="18"/>
            <w:u w:val="single"/>
          </w:rPr>
          <w:t xml:space="preserve">AI Guardians</w:t>
        </w:r>
      </w:hyperlink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PROFESSIONAL SUMMARY</w:t>
      </w:r>
    </w:p>
    <w:p>
      <w:pPr>
        <w:spacing w:before="0" w:after="100" w:line="240" w:lineRule="auto"/>
      </w:pPr>
      <w:r>
        <w:rPr>
          <w:color w:val="1F1F1F"/>
          <w:sz w:val="19"/>
        </w:rPr>
        <w:t xml:space="preserve">AI-first transformation and Program Analyst with 20+ years turning fragmented legacy environments into unified enterprise platforms across federal and financial sectors. Reclaimed millions in unused government funds, saved $1M+ every year, and brought 85+ users onto new systems. Architected the end-to-end Department of the Interior (DOI) FBMS data conversion—an award-recognized transformation spanning the entire Department—and spent 14 years as senior escalation lead handling 5 to 10 mission-critical business issues daily. Pairs proven GS-13-level operational delivery with a University of Denver graduate certificate in AI Strategy, building AI maturity assessments, multi-year roadmaps, and ROI-backed business cases for executive and contracting stakeholders.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CORE COMPETENCIES</w:t>
      </w:r>
    </w:p>
    <w:p>
      <w:pPr>
        <w:spacing w:before="0" w:after="100" w:line="240" w:lineRule="auto"/>
      </w:pPr>
      <w:r>
        <w:rPr>
          <w:color w:val="1F1F1F"/>
          <w:sz w:val="18"/>
        </w:rPr>
        <w:t xml:space="preserve">AI Strategy &amp; Portfolio Prioritization • GenAI Use Cases • LLM Evaluation • RAG &amp; Agentic Workflows • Federal Acquisition &amp; Contracting (GS-13) • Unison PRISM &amp; SAP FBMS Administration • Funds Realignment &amp; Deobligation ($1M+ Reclaimed) • Process Workflow Reimagination • Business Operations Reporting • User Training &amp; Enablement (85+ Cohort Users) • AI Governance, Risk &amp; Compliance • Vendor &amp; Billing Dispute Mediation (IPAC)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AI STRATEGY &amp; TRANSFORMATION PORTFOLIO - Denver, CO | Sep 2025</w:t>
      </w:r>
    </w:p>
    <w:p>
      <w:pPr>
        <w:spacing w:before="0" w:after="40" w:line="240" w:lineRule="auto"/>
      </w:pPr>
      <w:r>
        <w:rPr>
          <w:b/>
          <w:color w:val="1F1F1F"/>
          <w:sz w:val="18"/>
        </w:rPr>
        <w:t xml:space="preserve">• Internal AI enablement tooling: </w:t>
      </w:r>
      <w:r>
        <w:rPr>
          <w:color w:val="1F1F1F"/>
          <w:sz w:val="18"/>
        </w:rPr>
        <w:t xml:space="preserve">Career Advancement Agent * Gap Analysis SKILL, Fact Finding SubAgent</w:t>
      </w:r>
    </w:p>
    <w:p>
      <w:pPr>
        <w:spacing w:before="0" w:after="40" w:line="240" w:lineRule="auto"/>
      </w:pPr>
      <w:r>
        <w:rPr>
          <w:b/>
          <w:color w:val="1F1F1F"/>
          <w:sz w:val="18"/>
        </w:rPr>
        <w:t xml:space="preserve">• LLM risk assessment on ChatGPT Health: </w:t>
      </w:r>
      <w:r>
        <w:rPr>
          <w:color w:val="1F1F1F"/>
          <w:sz w:val="18"/>
        </w:rPr>
        <w:t xml:space="preserve">Privacy, governance, compliance, and ethical usage framing across 6 risk dimensions.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</w:t>
      </w:r>
      <w:hyperlink r:id="rIdHyperlink3">
        <w:r>
          <w:rPr>
            <w:b/>
            <w:color w:val="17365D"/>
            <w:sz w:val="18"/>
            <w:u w:val="single"/>
          </w:rPr>
          <w:t xml:space="preserve">AI Guardians</w:t>
        </w:r>
      </w:hyperlink>
      <w:r>
        <w:rPr>
          <w:color w:val="1F1F1F"/>
          <w:sz w:val="18"/>
        </w:rPr>
        <w:t xml:space="preserve"> AI Transformation Services: AI readiness, governance and risk, use-case prioritization, ROI, vendor evaluation, policy, Agent oversight.</w:t>
      </w:r>
    </w:p>
    <w:p>
      <w:pPr>
        <w:spacing w:before="0" w:after="40" w:line="240" w:lineRule="auto"/>
      </w:pPr>
      <w:r>
        <w:rPr>
          <w:b/>
          <w:color w:val="1F1F1F"/>
          <w:sz w:val="18"/>
        </w:rPr>
        <w:t xml:space="preserve">• Enterprise AI roadmap: </w:t>
      </w:r>
      <w:r>
        <w:rPr>
          <w:color w:val="1F1F1F"/>
          <w:sz w:val="18"/>
        </w:rPr>
        <w:t xml:space="preserve">Authored 3-year enterprise AI strategy for Mile High Logistics covering maturity assessment, opportunity identification, budgeting, ROI modeling, and executive strategy communication.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PROFESSIONAL EXPERIENCE</w:t>
      </w:r>
    </w:p>
    <w:p>
      <w:pPr>
        <w:spacing w:before="60" w:after="40" w:line="240" w:lineRule="auto"/>
        <w:shd w:val="clear" w:color="auto" w:fill="EBF1F5"/>
      </w:pPr>
      <w:r>
        <w:rPr>
          <w:b/>
          <w:color w:val="17365D"/>
          <w:sz w:val="19"/>
        </w:rPr>
        <w:t xml:space="preserve">PROGRAM ANALYST, ACQUISITIONS DIRECTORATE | U.S. DEPARTMENT OF THE INTERIOR	Denver, CO | Jan–Sep 2025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Senior operational and functional lead for the Acquisition Directorate's contracting business operations, serving as top escalation resource for mission-critical acquisition and financial systems in a GS-13-level environment.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Owned enterprise application support for mission-critical procurement and financial systems, keeping them compliant, secure, and available under strict federal data-governance requirements.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Served as senior escalation resource for system issues impacting contracting operations, coordinating incident resolution across technical and business teams to shorten time-to-resolution.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Delivered targeted user training and operational guidance that improved system adoption and reduced repeat support requests across the directorate.</w:t>
      </w:r>
    </w:p>
    <w:p>
      <w:pPr>
        <w:spacing w:before="100" w:after="40" w:line="240" w:lineRule="auto"/>
        <w:shd w:val="clear" w:color="auto" w:fill="EBF1F5"/>
      </w:pPr>
      <w:r>
        <w:rPr>
          <w:b/>
          <w:color w:val="17365D"/>
          <w:sz w:val="19"/>
        </w:rPr>
        <w:t xml:space="preserve">SENIOR ANALYST CONSULTANT | ARKSOLUTIONS — CLIENT: IBC ACQUISITION DIRECTORATE	Denver, CO | 2011–2025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Architected DOI FBMS data conversion and translated complex business requirements into integrated enterprise workflows; recognized with two Department of the Interior awards.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Reclaimed $1M+ in recurring annual savings through government contract funds deobligation, executing funds realignment that resolved financial discrepancies between contracting officials and service providers.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Served as Unison PRISM administrator for seven years, overseeing access management, data integrity, procurement workflows, and stakeholder support across the Acquisition Directorate.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Resolved 5 to 10 mission-critical business issues daily through root-cause analysis, workflow correction, testing, and cross-functional coordination.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Designed and delivered operational training for 85+ users, improving adoption and reducing repeat support demand.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Chief POC for IPP Payment, Vendor Invoicing, Accounts Payable, and Core Financials Funds Management; mediated aviation vendor IPAC billing disputes.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Supported contracting officials with special FBMS defense award exemption procedures and assisted with DARPA project contract modifications.</w:t>
      </w:r>
    </w:p>
    <w:p>
      <w:pPr>
        <w:spacing w:before="100" w:after="40" w:line="240" w:lineRule="auto"/>
        <w:shd w:val="clear" w:color="auto" w:fill="EBF1F5"/>
      </w:pPr>
      <w:r>
        <w:rPr>
          <w:b/>
          <w:color w:val="17365D"/>
          <w:sz w:val="19"/>
        </w:rPr>
        <w:t xml:space="preserve">SOLUTIONS DEVELOPER / SOLUTION ARCHITECT | ACXIOM CORPORATION	1999–2010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Built Citibank's first Online Identity Scoring Model and provided production support for the Application Verification System (AVS).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Supported customer identity-verification solutions for financial-services and insurance clients; gathered requirements and analyzed customer-data needs.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Standardized company-wide SDLC/SCM methodology and led cross-functional process-improvement teams.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EDUCATION &amp; CREDENTIALS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Graduate Certificate, AI Strategy &amp; Applications in IT</w:t>
      </w:r>
      <w:r>
        <w:rPr>
          <w:color w:val="1F1F1F"/>
          <w:sz w:val="18"/>
        </w:rPr>
        <w:t xml:space="preserve"> : University of Denver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M.S. &amp; B.S., Computer Science</w:t>
      </w:r>
      <w:r>
        <w:rPr>
          <w:color w:val="1F1F1F"/>
          <w:sz w:val="18"/>
        </w:rPr>
        <w:t xml:space="preserve"> : St. Joseph's College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LLM &amp; Agentic AI</w:t>
      </w:r>
      <w:r>
        <w:rPr>
          <w:color w:val="1F1F1F"/>
          <w:sz w:val="18"/>
        </w:rPr>
        <w:t xml:space="preserve"> : Harvard School of Engineering and Applied Sciences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Machine Learning &amp; Deep Learning</w:t>
      </w:r>
      <w:r>
        <w:rPr>
          <w:color w:val="1F1F1F"/>
          <w:sz w:val="18"/>
        </w:rPr>
        <w:t xml:space="preserve"> : UC Berkeley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AI Governance</w:t>
      </w:r>
      <w:r>
        <w:rPr>
          <w:color w:val="1F1F1F"/>
          <w:sz w:val="18"/>
        </w:rPr>
        <w:t xml:space="preserve"> : AI Tech and Privacy Academy</w:t>
      </w:r>
    </w:p>
    <w:p>
      <w:pPr>
        <w:spacing w:before="0" w:after="40" w:line="240" w:lineRule="auto"/>
      </w:pPr>
      <w:r>
        <w:rPr>
          <w:b/>
          <w:color w:val="C00000"/>
          <w:sz w:val="18"/>
        </w:rPr>
        <w:t xml:space="preserve">Awards: </w:t>
      </w:r>
      <w:r>
        <w:rPr>
          <w:color w:val="1F1F1F"/>
          <w:sz w:val="18"/>
        </w:rPr>
        <w:t xml:space="preserve">Interior Business Center Award for Excellence · DOI FBMS Special Recognition Award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TECHNICAL PROFICIENCIES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AI Toolset: </w:t>
      </w:r>
      <w:r>
        <w:rPr>
          <w:color w:val="1F1F1F"/>
          <w:sz w:val="18"/>
        </w:rPr>
        <w:t xml:space="preserve">Azure OpenAI APIs, Microsoft Copilot, RAG, agentic AI workflows, LoRA, Unsloth, Claude, Cursor, Qdrant, REST APIs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Data &amp; Analytics: </w:t>
      </w:r>
      <w:r>
        <w:rPr>
          <w:color w:val="1F1F1F"/>
          <w:sz w:val="18"/>
        </w:rPr>
        <w:t xml:space="preserve">SQL, Python, PL/SQL, Apache Spark, PySpark, Tableau, Matplotlib, NumPy, Jupyter, ETL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Enterprise &amp; Systems: </w:t>
      </w:r>
      <w:r>
        <w:rPr>
          <w:color w:val="1F1F1F"/>
          <w:sz w:val="18"/>
        </w:rPr>
        <w:t xml:space="preserve">Oracle, SQL Server, Sybase, SAP S/4, Unison PRISM, FBMS, IPP, Application Verification System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AI Stack: </w:t>
      </w:r>
      <w:r>
        <w:rPr>
          <w:color w:val="1F1F1F"/>
          <w:sz w:val="18"/>
        </w:rPr>
        <w:t xml:space="preserve">Colab, MongoDB, LangChain, LangGraph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Hyperlink1" Type="http://schemas.openxmlformats.org/officeDocument/2006/relationships/hyperlink" Target="https://www.linkedin.com/in/ebenezer-rolston/" TargetMode="External"/>
  <Relationship Id="rIdHyperlink2" Type="http://schemas.openxmlformats.org/officeDocument/2006/relationships/hyperlink" Target="https://portal.aiguardiansllc.us/" TargetMode="External"/>
  <Relationship Id="rIdHyperlink3" Type="http://schemas.openxmlformats.org/officeDocument/2006/relationships/hyperlink" Target="https://portal.aiguardiansllc.us/" TargetMode="External"/>
</Relationships>
</file>