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20" w:line="240" w:lineRule="auto"/>
      </w:pPr>
      <w:r>
        <w:rPr>
          <w:b/>
          <w:color w:val="17365D"/>
          <w:sz w:val="36"/>
        </w:rPr>
        <w:t xml:space="preserve">Ebenezer J. Rolston</w:t>
      </w:r>
    </w:p>
    <w:p>
      <w:pPr>
        <w:jc w:val="center"/>
        <w:spacing w:before="0" w:after="40" w:line="240" w:lineRule="auto"/>
      </w:pPr>
      <w:r>
        <w:rPr>
          <w:b/>
          <w:color w:val="17365D"/>
          <w:sz w:val="19"/>
        </w:rPr>
        <w:t xml:space="preserve">MANAGEMENT ANALYST | FEDERAL TRANSFORMATION &amp; DATA ARCHITECTURE</w:t>
      </w:r>
    </w:p>
    <w:p>
      <w:pPr>
        <w:jc w:val="center"/>
        <w:spacing w:before="0" w:after="100" w:line="240" w:lineRule="auto"/>
        <w:pBdr>
          <w:bottom w:val="single" w:sz="6" w:space="4" w:color="17365D"/>
        </w:pBdr>
      </w:pPr>
      <w:r>
        <w:rPr>
          <w:color w:val="1F1F1F"/>
          <w:sz w:val="18"/>
        </w:rPr>
        <w:t xml:space="preserve">Denver, CO • Open to Hybrid • </w:t>
      </w:r>
      <w:r>
        <w:rPr>
          <w:color w:val="1F1F1F"/>
          <w:sz w:val="18"/>
        </w:rPr>
        <w:t xml:space="preserve">eberolston@yahoo.com</w:t>
      </w:r>
      <w:r>
        <w:rPr>
          <w:color w:val="1F1F1F"/>
          <w:sz w:val="18"/>
        </w:rPr>
        <w:t xml:space="preserve"> • 501-307-3237 • </w:t>
      </w:r>
      <w:hyperlink r:id="rIdHyperlink1">
        <w:r>
          <w:rPr>
            <w:b/>
            <w:color w:val="17365D"/>
            <w:sz w:val="18"/>
            <w:u w:val="single"/>
          </w:rPr>
          <w:t xml:space="preserve">LinkedIn</w:t>
        </w:r>
      </w:hyperlink>
      <w:r>
        <w:rPr>
          <w:color w:val="1F1F1F"/>
          <w:sz w:val="18"/>
        </w:rPr>
        <w:t xml:space="preserve"> • </w:t>
      </w:r>
      <w:hyperlink r:id="rIdHyperlink2">
        <w:r>
          <w:rPr>
            <w:b/>
            <w:color w:val="17365D"/>
            <w:sz w:val="18"/>
            <w:u w:val="single"/>
          </w:rPr>
          <w:t xml:space="preserve">AI Guardians</w:t>
        </w:r>
      </w:hyperlink>
    </w:p>
    <w:p>
      <w:pPr>
        <w:spacing w:before="120" w:after="40" w:line="240" w:lineRule="auto"/>
        <w:pBdr>
          <w:bottom w:val="single" w:sz="6" w:space="4" w:color="17365D"/>
        </w:pBdr>
      </w:pPr>
      <w:r>
        <w:rPr>
          <w:b/>
          <w:color w:val="17365D"/>
          <w:sz w:val="20"/>
        </w:rPr>
        <w:t xml:space="preserve">PROFESSIONAL SUMMARY</w:t>
      </w:r>
    </w:p>
    <w:p>
      <w:pPr>
        <w:spacing w:before="0" w:after="60" w:line="240" w:lineRule="auto"/>
      </w:pPr>
      <w:r>
        <w:rPr>
          <w:color w:val="1F1F1F"/>
          <w:sz w:val="19"/>
        </w:rPr>
        <w:t xml:space="preserve">Senior Management Analyst and Federal Transformation Lead with 20+ years of experience optimizing enterprise business operations, financial workflows, and data architecture across federal and commercial sectors. Proven track record managing GS-13-level contracting operations for the U.S. Department of the Interior, coupled with Acxiom data modeling experience and a University of Denver Graduate Certificate in AI Strategy to drive digital transformation, ROI modeling, and process automation.</w:t>
      </w:r>
    </w:p>
    <w:p>
      <w:pPr>
        <w:spacing w:before="0" w:after="40" w:line="240" w:lineRule="auto"/>
      </w:pPr>
      <w:r>
        <w:rPr>
          <w:b/>
          <w:color w:val="17365D"/>
          <w:sz w:val="18"/>
        </w:rPr>
        <w:t xml:space="preserve">• Federal Operations &amp; Systems Leadership: </w:t>
      </w:r>
      <w:r>
        <w:rPr>
          <w:color w:val="1F1F1F"/>
          <w:sz w:val="18"/>
        </w:rPr>
        <w:t xml:space="preserve">14 years as Senior Analyst Lead and Unison PRISM Administrator at the DOI IBC Acquisition Directorate; architected Department-wide FBMS data conversion migrating 12 legacy databases.</w:t>
      </w:r>
    </w:p>
    <w:p>
      <w:pPr>
        <w:spacing w:before="0" w:after="40" w:line="240" w:lineRule="auto"/>
      </w:pPr>
      <w:r>
        <w:rPr>
          <w:b/>
          <w:color w:val="17365D"/>
          <w:sz w:val="18"/>
        </w:rPr>
        <w:t xml:space="preserve">• Financial Realignment &amp; Cost Recovery: </w:t>
      </w:r>
      <w:r>
        <w:rPr>
          <w:color w:val="1F1F1F"/>
          <w:sz w:val="18"/>
        </w:rPr>
        <w:t xml:space="preserve">Reclaimed $1M+ in recurring annual savings through contract funds deobligation, executed funds realignment, and mediated vendor IPAC billing disputes.</w:t>
      </w:r>
    </w:p>
    <w:p>
      <w:pPr>
        <w:spacing w:before="0" w:after="100" w:line="240" w:lineRule="auto"/>
      </w:pPr>
      <w:r>
        <w:rPr>
          <w:b/>
          <w:color w:val="17365D"/>
          <w:sz w:val="18"/>
        </w:rPr>
        <w:t xml:space="preserve">• Data Analytics &amp; AI Transformation: </w:t>
      </w:r>
      <w:r>
        <w:rPr>
          <w:color w:val="1F1F1F"/>
          <w:sz w:val="18"/>
        </w:rPr>
        <w:t xml:space="preserve">Built Citibank's first Online Identity Scoring Model at Acxiom; authored enterprise AI roadmaps, healthcare LLM risk frameworks, and user training enabling 85+ cohort users.</w:t>
      </w:r>
    </w:p>
    <w:p>
      <w:pPr>
        <w:spacing w:before="120" w:after="40" w:line="240" w:lineRule="auto"/>
        <w:pBdr>
          <w:bottom w:val="single" w:sz="6" w:space="4" w:color="17365D"/>
        </w:pBdr>
      </w:pPr>
      <w:r>
        <w:rPr>
          <w:b/>
          <w:color w:val="17365D"/>
          <w:sz w:val="20"/>
        </w:rPr>
        <w:t xml:space="preserve">CORE COMPETENCIES</w:t>
      </w:r>
    </w:p>
    <w:p>
      <w:pPr>
        <w:spacing w:before="0" w:after="40" w:line="240" w:lineRule="auto"/>
      </w:pPr>
      <w:r>
        <w:rPr>
          <w:b/>
          <w:color w:val="17365D"/>
          <w:sz w:val="18"/>
        </w:rPr>
        <w:t xml:space="preserve">Federal Acquisition &amp; Operations: </w:t>
      </w:r>
      <w:r>
        <w:rPr>
          <w:color w:val="1F1F1F"/>
          <w:sz w:val="18"/>
        </w:rPr>
        <w:t xml:space="preserve">Unison PRISM Admin • SAP FBMS Support • GS-13 Contracting Operations • Defense Award Exemptions • FAR &amp; FPDS Compliance</w:t>
      </w:r>
    </w:p>
    <w:p>
      <w:pPr>
        <w:spacing w:before="0" w:after="40" w:line="240" w:lineRule="auto"/>
      </w:pPr>
      <w:r>
        <w:rPr>
          <w:b/>
          <w:color w:val="17365D"/>
          <w:sz w:val="18"/>
        </w:rPr>
        <w:t xml:space="preserve">Data Engineering &amp; Analytics: </w:t>
      </w:r>
      <w:r>
        <w:rPr>
          <w:color w:val="1F1F1F"/>
          <w:sz w:val="18"/>
        </w:rPr>
        <w:t xml:space="preserve">Funds Realignment ($1M+ Reclaimed) • Oracle PL/SQL &amp; ETL Architecture • SQL &amp; Tableau Reporting • Acxiom Identity Data Modeling</w:t>
      </w:r>
    </w:p>
    <w:p>
      <w:pPr>
        <w:spacing w:before="0" w:after="100" w:line="240" w:lineRule="auto"/>
      </w:pPr>
      <w:r>
        <w:rPr>
          <w:b/>
          <w:color w:val="17365D"/>
          <w:sz w:val="18"/>
        </w:rPr>
        <w:t xml:space="preserve">AI Strategy &amp; Transformation: </w:t>
      </w:r>
      <w:r>
        <w:rPr>
          <w:color w:val="1F1F1F"/>
          <w:sz w:val="18"/>
        </w:rPr>
        <w:t xml:space="preserve">DU AI Strategy Certificate • RAG &amp; Agentic Workflows • LLM Risk &amp; Governance • Cohort Training &amp; User Enablement (85+ Trained)</w:t>
      </w:r>
    </w:p>
    <w:p>
      <w:pPr>
        <w:spacing w:before="120" w:after="40" w:line="240" w:lineRule="auto"/>
        <w:pBdr>
          <w:bottom w:val="single" w:sz="6" w:space="4" w:color="17365D"/>
        </w:pBdr>
      </w:pPr>
      <w:r>
        <w:rPr>
          <w:b/>
          <w:color w:val="17365D"/>
          <w:sz w:val="20"/>
        </w:rPr>
        <w:t xml:space="preserve">AI STRATEGY &amp; TRANSFORMATION PORTFOLIO - Denver, CO | Sep 2025</w:t>
      </w:r>
    </w:p>
    <w:p>
      <w:pPr>
        <w:spacing w:before="0" w:after="40" w:line="240" w:lineRule="auto"/>
      </w:pPr>
      <w:r>
        <w:rPr>
          <w:b/>
          <w:color w:val="1F1F1F"/>
          <w:sz w:val="18"/>
        </w:rPr>
        <w:t xml:space="preserve">• Internal AI enablement tooling: </w:t>
      </w:r>
      <w:r>
        <w:rPr>
          <w:color w:val="1F1F1F"/>
          <w:sz w:val="18"/>
        </w:rPr>
        <w:t xml:space="preserve">Career Advancement Agent * Gap Analysis SKILL, Fact Finding SubAgent</w:t>
      </w:r>
    </w:p>
    <w:p>
      <w:pPr>
        <w:spacing w:before="0" w:after="40" w:line="240" w:lineRule="auto"/>
      </w:pPr>
      <w:r>
        <w:rPr>
          <w:b/>
          <w:color w:val="1F1F1F"/>
          <w:sz w:val="18"/>
        </w:rPr>
        <w:t xml:space="preserve">• LLM risk assessment on ChatGPT Health: </w:t>
      </w:r>
      <w:r>
        <w:rPr>
          <w:color w:val="1F1F1F"/>
          <w:sz w:val="18"/>
        </w:rPr>
        <w:t xml:space="preserve">Privacy, governance, compliance, and ethical usage framing across 6 risk dimensions.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</w:t>
      </w:r>
      <w:hyperlink r:id="rIdHyperlink3">
        <w:r>
          <w:rPr>
            <w:b/>
            <w:color w:val="17365D"/>
            <w:sz w:val="18"/>
            <w:u w:val="single"/>
          </w:rPr>
          <w:t xml:space="preserve">AI Guardians</w:t>
        </w:r>
      </w:hyperlink>
      <w:r>
        <w:rPr>
          <w:color w:val="1F1F1F"/>
          <w:sz w:val="18"/>
        </w:rPr>
        <w:t xml:space="preserve"> AI Transformation Services: AI readiness, governance and risk, use-case prioritization, ROI, vendor evaluation, policy, Agent oversight.</w:t>
      </w:r>
    </w:p>
    <w:p>
      <w:pPr>
        <w:spacing w:before="0" w:after="40" w:line="240" w:lineRule="auto"/>
      </w:pPr>
      <w:r>
        <w:rPr>
          <w:b/>
          <w:color w:val="1F1F1F"/>
          <w:sz w:val="18"/>
        </w:rPr>
        <w:t xml:space="preserve">• Enterprise AI roadmap: </w:t>
      </w:r>
      <w:r>
        <w:rPr>
          <w:color w:val="1F1F1F"/>
          <w:sz w:val="18"/>
        </w:rPr>
        <w:t xml:space="preserve">Authored 3-year enterprise AI strategy for Mile High Logistics covering maturity assessment, opportunity identification, budgeting, ROI modeling, and executive strategy communication.</w:t>
      </w:r>
    </w:p>
    <w:p>
      <w:pPr>
        <w:spacing w:before="120" w:after="40" w:line="240" w:lineRule="auto"/>
        <w:pBdr>
          <w:bottom w:val="single" w:sz="6" w:space="4" w:color="17365D"/>
        </w:pBdr>
      </w:pPr>
      <w:r>
        <w:rPr>
          <w:b/>
          <w:color w:val="17365D"/>
          <w:sz w:val="20"/>
        </w:rPr>
        <w:t xml:space="preserve">PROFESSIONAL EXPERIENCE</w:t>
      </w:r>
    </w:p>
    <w:p>
      <w:pPr>
        <w:spacing w:before="60" w:after="40" w:line="240" w:lineRule="auto"/>
        <w:shd w:val="clear" w:color="auto" w:fill="EBF1F5"/>
      </w:pPr>
      <w:r>
        <w:rPr>
          <w:b/>
          <w:color w:val="17365D"/>
          <w:sz w:val="19"/>
        </w:rPr>
        <w:t xml:space="preserve">PROGRAM ANALYST, ACQUISITIONS DIRECTORATE | U.S. DEPARTMENT OF THE INTERIOR	Denver, CO | Jan–Sep 2025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Senior operational and functional lead for the Acquisition Directorate's contracting business operations, serving as top escalation resource for mission-critical acquisition and financial systems in a GS-13-level environment.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Owned enterprise application support for mission-critical procurement and financial systems, keeping them compliant, secure, and available under strict federal data-governance requirements.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Served as senior escalation resource for system issues impacting contracting operations, coordinating incident resolution across technical and business teams to shorten time-to-resolution.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Delivered targeted user training and operational guidance that improved system adoption and reduced repeat support requests across the directorate.</w:t>
      </w:r>
    </w:p>
    <w:p>
      <w:pPr>
        <w:spacing w:before="100" w:after="40" w:line="240" w:lineRule="auto"/>
        <w:shd w:val="clear" w:color="auto" w:fill="EBF1F5"/>
      </w:pPr>
      <w:r>
        <w:rPr>
          <w:b/>
          <w:color w:val="17365D"/>
          <w:sz w:val="19"/>
        </w:rPr>
        <w:t xml:space="preserve">SENIOR ANALYST CONSULTANT | ARKSOLUTIONS — CLIENT: IBC ACQUISITION DIRECTORATE	Denver, CO | 2011–2025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Architected DOI FBMS data conversion and translated complex business requirements into integrated enterprise workflows; recognized with two Department of the Interior awards.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Reclaimed $1M+ in recurring annual savings through government contract funds deobligation, executing funds realignment that resolved financial discrepancies between contracting officials and service providers.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Served as Unison PRISM administrator for seven years, overseeing access management, data integrity, procurement workflows, and stakeholder support across the Acquisition Directorate.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Resolved 5 to 10 mission-critical business issues daily through root-cause analysis, workflow correction, testing, and cross-functional coordination.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Designed and delivered operational training for 85+ users, improving adoption and reducing repeat support demand.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Chief POC for IPP Payment, Vendor Invoicing, Accounts Payable, and Core Financials Funds Management; mediated aviation vendor IPAC billing disputes.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Supported contracting officials with special FBMS defense award exemption procedures and assisted with DARPA project contract modifications.</w:t>
      </w:r>
    </w:p>
    <w:p>
      <w:pPr>
        <w:spacing w:before="100" w:after="40" w:line="240" w:lineRule="auto"/>
        <w:shd w:val="clear" w:color="auto" w:fill="EBF1F5"/>
      </w:pPr>
      <w:r>
        <w:rPr>
          <w:b/>
          <w:color w:val="17365D"/>
          <w:sz w:val="19"/>
        </w:rPr>
        <w:t xml:space="preserve">SOLUTIONS DEVELOPER / SOLUTION ARCHITECT | ACXIOM CORPORATION	1999–2010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Built Citibank's first Online Identity Scoring Model (early AI/ML) and provided production support for the Application Verification System (AVS).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Supported customer identity-verification solutions for financial-services and insurance clients; gathered requirements, analyzed customer data needs, and designed Oracle data warehouses.</w:t>
      </w:r>
    </w:p>
    <w:p>
      <w:pPr>
        <w:spacing w:before="0" w:after="40" w:line="240" w:lineRule="auto"/>
      </w:pPr>
      <w:r>
        <w:rPr>
          <w:color w:val="1F1F1F"/>
          <w:sz w:val="18"/>
        </w:rPr>
        <w:t xml:space="preserve">• Standardized company-wide SDLC/SCM methodology and led cross-functional process-improvement teams.</w:t>
      </w:r>
    </w:p>
    <w:p>
      <w:pPr>
        <w:spacing w:before="120" w:after="40" w:line="240" w:lineRule="auto"/>
        <w:pBdr>
          <w:bottom w:val="single" w:sz="6" w:space="4" w:color="17365D"/>
        </w:pBdr>
      </w:pPr>
      <w:r>
        <w:rPr>
          <w:b/>
          <w:color w:val="17365D"/>
          <w:sz w:val="20"/>
        </w:rPr>
        <w:t xml:space="preserve">EDUCATION &amp; CREDENTIALS</w:t>
      </w:r>
    </w:p>
    <w:p>
      <w:pPr>
        <w:spacing w:before="0" w:after="40" w:line="240" w:lineRule="auto"/>
      </w:pPr>
      <w:r>
        <w:rPr>
          <w:b/>
          <w:color w:val="17365D"/>
          <w:sz w:val="18"/>
        </w:rPr>
        <w:t xml:space="preserve">Graduate Certificate, AI Strategy &amp; Applications in IT</w:t>
      </w:r>
      <w:r>
        <w:rPr>
          <w:color w:val="1F1F1F"/>
          <w:sz w:val="18"/>
        </w:rPr>
        <w:t xml:space="preserve"> : University of Denver</w:t>
      </w:r>
    </w:p>
    <w:p>
      <w:pPr>
        <w:spacing w:before="0" w:after="40" w:line="240" w:lineRule="auto"/>
      </w:pPr>
      <w:r>
        <w:rPr>
          <w:b/>
          <w:color w:val="17365D"/>
          <w:sz w:val="18"/>
        </w:rPr>
        <w:t xml:space="preserve">M.S. &amp; B.S., Computer Science</w:t>
      </w:r>
      <w:r>
        <w:rPr>
          <w:color w:val="1F1F1F"/>
          <w:sz w:val="18"/>
        </w:rPr>
        <w:t xml:space="preserve"> : St. Joseph's College</w:t>
      </w:r>
    </w:p>
    <w:p>
      <w:pPr>
        <w:spacing w:before="0" w:after="40" w:line="240" w:lineRule="auto"/>
      </w:pPr>
      <w:r>
        <w:rPr>
          <w:b/>
          <w:color w:val="17365D"/>
          <w:sz w:val="18"/>
        </w:rPr>
        <w:t xml:space="preserve">LLM &amp; Agentic AI</w:t>
      </w:r>
      <w:r>
        <w:rPr>
          <w:color w:val="1F1F1F"/>
          <w:sz w:val="18"/>
        </w:rPr>
        <w:t xml:space="preserve"> : Harvard School of Engineering and Applied Sciences</w:t>
      </w:r>
    </w:p>
    <w:p>
      <w:pPr>
        <w:spacing w:before="0" w:after="40" w:line="240" w:lineRule="auto"/>
      </w:pPr>
      <w:r>
        <w:rPr>
          <w:b/>
          <w:color w:val="C00000"/>
          <w:sz w:val="18"/>
        </w:rPr>
        <w:t xml:space="preserve">Awards: </w:t>
      </w:r>
      <w:r>
        <w:rPr>
          <w:color w:val="1F1F1F"/>
          <w:sz w:val="18"/>
        </w:rPr>
        <w:t xml:space="preserve">Interior Business Center Award for Excellence · DOI FBMS Special Recognition Award</w:t>
      </w:r>
    </w:p>
    <w:p>
      <w:pPr>
        <w:spacing w:before="120" w:after="40" w:line="240" w:lineRule="auto"/>
        <w:pBdr>
          <w:bottom w:val="single" w:sz="6" w:space="4" w:color="17365D"/>
        </w:pBdr>
      </w:pPr>
      <w:r>
        <w:rPr>
          <w:b/>
          <w:color w:val="17365D"/>
          <w:sz w:val="20"/>
        </w:rPr>
        <w:t xml:space="preserve">TECHNICAL PROFICIENCIES</w:t>
      </w:r>
    </w:p>
    <w:p>
      <w:pPr>
        <w:spacing w:before="0" w:after="40" w:line="240" w:lineRule="auto"/>
      </w:pPr>
      <w:r>
        <w:rPr>
          <w:b/>
          <w:color w:val="17365D"/>
          <w:sz w:val="18"/>
        </w:rPr>
        <w:t xml:space="preserve">AI Toolset: </w:t>
      </w:r>
      <w:r>
        <w:rPr>
          <w:color w:val="1F1F1F"/>
          <w:sz w:val="18"/>
        </w:rPr>
        <w:t xml:space="preserve">Azure OpenAI APIs, Microsoft Copilot, RAG, agentic AI workflows, Claude, Cursor, Qdrant, REST APIs</w:t>
      </w:r>
    </w:p>
    <w:p>
      <w:pPr>
        <w:spacing w:before="0" w:after="40" w:line="240" w:lineRule="auto"/>
      </w:pPr>
      <w:r>
        <w:rPr>
          <w:b/>
          <w:color w:val="17365D"/>
          <w:sz w:val="18"/>
        </w:rPr>
        <w:t xml:space="preserve">Data &amp; Analytics: </w:t>
      </w:r>
      <w:r>
        <w:rPr>
          <w:color w:val="1F1F1F"/>
          <w:sz w:val="18"/>
        </w:rPr>
        <w:t xml:space="preserve">SQL, Python, PL/SQL, Apache Spark, PySpark, Tableau, Matplotlib, NumPy, Jupyter, ETL</w:t>
      </w:r>
    </w:p>
    <w:p>
      <w:pPr>
        <w:spacing w:before="0" w:after="40" w:line="240" w:lineRule="auto"/>
      </w:pPr>
      <w:r>
        <w:rPr>
          <w:b/>
          <w:color w:val="17365D"/>
          <w:sz w:val="18"/>
        </w:rPr>
        <w:t xml:space="preserve">Enterprise &amp; Systems: </w:t>
      </w:r>
      <w:r>
        <w:rPr>
          <w:color w:val="1F1F1F"/>
          <w:sz w:val="18"/>
        </w:rPr>
        <w:t xml:space="preserve">Oracle, SQL Server, Sybase, SAP S/4, Unison PRISM, FBMS, IPP, Application Verification System</w:t>
      </w:r>
    </w:p>
    <w:sectPr>
      <w:pgSz w:w="12240" w:h="15840"/>
      <w:pgMar w:top="720" w:right="893" w:bottom="720" w:left="893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0"/>
        <w:color w:val="1F1F1F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Hyperlink1" Type="http://schemas.openxmlformats.org/officeDocument/2006/relationships/hyperlink" Target="https://www.linkedin.com/in/ebenezer-rolston/" TargetMode="External"/>
  <Relationship Id="rIdHyperlink2" Type="http://schemas.openxmlformats.org/officeDocument/2006/relationships/hyperlink" Target="https://portal.aiguardiansllc.us/" TargetMode="External"/>
  <Relationship Id="rIdHyperlink3" Type="http://schemas.openxmlformats.org/officeDocument/2006/relationships/hyperlink" Target="https://portal.aiguardiansllc.us/" TargetMode="External"/>
</Relationships>
</file>