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20" w:line="240" w:lineRule="auto"/>
      </w:pPr>
      <w:r>
        <w:rPr>
          <w:b/>
          <w:color w:val="17365D"/>
          <w:sz w:val="36"/>
        </w:rPr>
        <w:t xml:space="preserve">Ebenezer J. Rolston</w:t>
      </w:r>
    </w:p>
    <w:p>
      <w:pPr>
        <w:jc w:val="center"/>
        <w:spacing w:before="0" w:after="40" w:line="240" w:lineRule="auto"/>
      </w:pPr>
      <w:r>
        <w:rPr>
          <w:b/>
          <w:color w:val="17365D"/>
          <w:sz w:val="19"/>
        </w:rPr>
        <w:t xml:space="preserve">MANAGEMENT ANALYST | FEDERAL ACQUISITIONS &amp; DATA ARCHITECTURE</w:t>
      </w:r>
    </w:p>
    <w:p>
      <w:pPr>
        <w:jc w:val="center"/>
        <w:spacing w:before="0" w:after="100" w:line="240" w:lineRule="auto"/>
        <w:pBdr>
          <w:bottom w:val="single" w:sz="6" w:space="4" w:color="17365D"/>
        </w:pBdr>
      </w:pPr>
      <w:r>
        <w:rPr>
          <w:color w:val="1F1F1F"/>
          <w:sz w:val="18"/>
        </w:rPr>
        <w:t xml:space="preserve">Denver, CO • Open to Hybrid • </w:t>
      </w:r>
      <w:r>
        <w:rPr>
          <w:color w:val="1F1F1F"/>
          <w:sz w:val="18"/>
        </w:rPr>
        <w:t xml:space="preserve">eberolston@yahoo.com</w:t>
      </w:r>
      <w:r>
        <w:rPr>
          <w:color w:val="1F1F1F"/>
          <w:sz w:val="18"/>
        </w:rPr>
        <w:t xml:space="preserve"> • 501-307-3237 • </w:t>
      </w:r>
      <w:hyperlink r:id="rIdHyperlink1">
        <w:r>
          <w:rPr>
            <w:b/>
            <w:color w:val="17365D"/>
            <w:sz w:val="18"/>
            <w:u w:val="single"/>
          </w:rPr>
          <w:t xml:space="preserve">LinkedIn</w:t>
        </w:r>
      </w:hyperlink>
      <w:r>
        <w:rPr>
          <w:color w:val="1F1F1F"/>
          <w:sz w:val="18"/>
        </w:rPr>
        <w:t xml:space="preserve"> • </w:t>
      </w:r>
      <w:hyperlink r:id="rIdHyperlink2">
        <w:r>
          <w:rPr>
            <w:b/>
            <w:color w:val="17365D"/>
            <w:sz w:val="18"/>
            <w:u w:val="single"/>
          </w:rPr>
          <w:t xml:space="preserve">AI Guardians</w:t>
        </w:r>
      </w:hyperlink>
    </w:p>
    <w:p>
      <w:pPr>
        <w:spacing w:before="120" w:after="40" w:line="240" w:lineRule="auto"/>
        <w:pBdr>
          <w:bottom w:val="single" w:sz="6" w:space="4" w:color="17365D"/>
        </w:pBdr>
      </w:pPr>
      <w:r>
        <w:rPr>
          <w:b/>
          <w:color w:val="17365D"/>
          <w:sz w:val="20"/>
        </w:rPr>
        <w:t xml:space="preserve">PROFESSIONAL SUMMARY</w:t>
      </w:r>
    </w:p>
    <w:p>
      <w:pPr>
        <w:spacing w:before="0" w:after="80" w:line="240" w:lineRule="auto"/>
      </w:pPr>
      <w:r>
        <w:rPr>
          <w:color w:val="1F1F1F"/>
          <w:sz w:val="19"/>
        </w:rPr>
        <w:t xml:space="preserve">High-impact Management Analyst offering 20+ years of expertise translating complex business, policy, and data priorities into streamlined federal acquisition, financial, and AI technology solutions. Proven GS-13-level operational lead adept at architecting enterprise system conversions, resolving daily escalations, building AI roadmaps, and aligning cross-functional stakeholders.</w:t>
      </w:r>
    </w:p>
    <w:p>
      <w:pPr>
        <w:spacing w:before="0" w:after="40" w:line="240" w:lineRule="auto"/>
      </w:pPr>
      <w:r>
        <w:rPr>
          <w:b/>
          <w:color w:val="17365D"/>
          <w:sz w:val="18"/>
        </w:rPr>
        <w:t xml:space="preserve">• Federal Acquisition &amp; Systems Admin: </w:t>
      </w:r>
      <w:r>
        <w:rPr>
          <w:color w:val="1F1F1F"/>
          <w:sz w:val="18"/>
        </w:rPr>
        <w:t xml:space="preserve">14-year Senior Analyst Lead at DOI IBC; 7-year Unison PRISM Administrator; defense award exemption lead.</w:t>
      </w:r>
    </w:p>
    <w:p>
      <w:pPr>
        <w:spacing w:before="0" w:after="40" w:line="240" w:lineRule="auto"/>
      </w:pPr>
      <w:r>
        <w:rPr>
          <w:b/>
          <w:color w:val="17365D"/>
          <w:sz w:val="18"/>
        </w:rPr>
        <w:t xml:space="preserve">• Financial Realignment &amp; Cost Recovery: </w:t>
      </w:r>
      <w:r>
        <w:rPr>
          <w:color w:val="1F1F1F"/>
          <w:sz w:val="18"/>
        </w:rPr>
        <w:t xml:space="preserve">Reclaimed $1M+ in recurring annual savings through contract funds deobligation; mediated IPAC billing disputes.</w:t>
      </w:r>
    </w:p>
    <w:p>
      <w:pPr>
        <w:spacing w:before="0" w:after="40" w:line="240" w:lineRule="auto"/>
      </w:pPr>
      <w:r>
        <w:rPr>
          <w:b/>
          <w:color w:val="17365D"/>
          <w:sz w:val="18"/>
        </w:rPr>
        <w:t xml:space="preserve">• Enterprise Data &amp; Acxiom Analytics: </w:t>
      </w:r>
      <w:r>
        <w:rPr>
          <w:color w:val="1F1F1F"/>
          <w:sz w:val="18"/>
        </w:rPr>
        <w:t xml:space="preserve">Architected DOI FBMS conversion (12 source DBs); built Citibank's first Online Identity Scoring Model at Acxiom.</w:t>
      </w:r>
    </w:p>
    <w:p>
      <w:pPr>
        <w:spacing w:before="0" w:after="100" w:line="240" w:lineRule="auto"/>
      </w:pPr>
      <w:r>
        <w:rPr>
          <w:b/>
          <w:color w:val="17365D"/>
          <w:sz w:val="18"/>
        </w:rPr>
        <w:t xml:space="preserve">• AI Strategy &amp; User Enablement: </w:t>
      </w:r>
      <w:r>
        <w:rPr>
          <w:color w:val="1F1F1F"/>
          <w:sz w:val="18"/>
        </w:rPr>
        <w:t xml:space="preserve">DU AI Strategy Certificate; developed Mile High Logistics AI roadmap &amp; cohort training for 85+ users.</w:t>
      </w:r>
    </w:p>
    <w:p>
      <w:pPr>
        <w:spacing w:before="120" w:after="40" w:line="240" w:lineRule="auto"/>
        <w:pBdr>
          <w:bottom w:val="single" w:sz="6" w:space="4" w:color="17365D"/>
        </w:pBdr>
      </w:pPr>
      <w:r>
        <w:rPr>
          <w:b/>
          <w:color w:val="17365D"/>
          <w:sz w:val="20"/>
        </w:rPr>
        <w:t xml:space="preserve">CORE COMPETENCIES</w:t>
      </w:r>
    </w:p>
    <w:p>
      <w:pPr>
        <w:spacing w:before="0" w:after="40" w:line="240" w:lineRule="auto"/>
      </w:pPr>
      <w:r>
        <w:rPr>
          <w:b/>
          <w:color w:val="17365D"/>
          <w:sz w:val="18"/>
        </w:rPr>
        <w:t xml:space="preserve">Federal Acquisition &amp; Operations: </w:t>
      </w:r>
      <w:r>
        <w:rPr>
          <w:color w:val="1F1F1F"/>
          <w:sz w:val="18"/>
        </w:rPr>
        <w:t xml:space="preserve">Unison PRISM Admin • SAP FBMS Support • GS-13 Contracting Operations • Defense Award Exemptions • FAR &amp; FPDS Compliance</w:t>
      </w:r>
    </w:p>
    <w:p>
      <w:pPr>
        <w:spacing w:before="0" w:after="40" w:line="240" w:lineRule="auto"/>
      </w:pPr>
      <w:r>
        <w:rPr>
          <w:b/>
          <w:color w:val="17365D"/>
          <w:sz w:val="18"/>
        </w:rPr>
        <w:t xml:space="preserve">Data Engineering &amp; Analytics: </w:t>
      </w:r>
      <w:r>
        <w:rPr>
          <w:color w:val="1F1F1F"/>
          <w:sz w:val="18"/>
        </w:rPr>
        <w:t xml:space="preserve">Funds Realignment ($1M+ Reclaimed) • Oracle PL/SQL &amp; ETL Architecture • SQL &amp; Tableau Reporting • Acxiom Identity Data Modeling</w:t>
      </w:r>
    </w:p>
    <w:p>
      <w:pPr>
        <w:spacing w:before="0" w:after="100" w:line="240" w:lineRule="auto"/>
      </w:pPr>
      <w:r>
        <w:rPr>
          <w:b/>
          <w:color w:val="17365D"/>
          <w:sz w:val="18"/>
        </w:rPr>
        <w:t xml:space="preserve">AI Strategy &amp; Transformation: </w:t>
      </w:r>
      <w:r>
        <w:rPr>
          <w:color w:val="1F1F1F"/>
          <w:sz w:val="18"/>
        </w:rPr>
        <w:t xml:space="preserve">DU AI Strategy Certificate • RAG &amp; Agentic Workflows • LLM Risk &amp; Governance • Cohort Training &amp; User Enablement (85+ Trained)</w:t>
      </w:r>
    </w:p>
    <w:p>
      <w:pPr>
        <w:spacing w:before="120" w:after="40" w:line="240" w:lineRule="auto"/>
        <w:pBdr>
          <w:bottom w:val="single" w:sz="6" w:space="4" w:color="17365D"/>
        </w:pBdr>
      </w:pPr>
      <w:r>
        <w:rPr>
          <w:b/>
          <w:color w:val="17365D"/>
          <w:sz w:val="20"/>
        </w:rPr>
        <w:t xml:space="preserve">AI STRATEGY &amp; TRANSFORMATION PORTFOLIO - Denver, CO | Sep 2025</w:t>
      </w:r>
    </w:p>
    <w:p>
      <w:pPr>
        <w:spacing w:before="0" w:after="40" w:line="240" w:lineRule="auto"/>
      </w:pPr>
      <w:r>
        <w:rPr>
          <w:b/>
          <w:color w:val="1F1F1F"/>
          <w:sz w:val="18"/>
        </w:rPr>
        <w:t xml:space="preserve">• Internal AI enablement tooling: </w:t>
      </w:r>
      <w:r>
        <w:rPr>
          <w:color w:val="1F1F1F"/>
          <w:sz w:val="18"/>
        </w:rPr>
        <w:t xml:space="preserve">Career Advancement Agent * Gap Analysis SKILL, Fact Finding SubAgent</w:t>
      </w:r>
    </w:p>
    <w:p>
      <w:pPr>
        <w:spacing w:before="0" w:after="40" w:line="240" w:lineRule="auto"/>
      </w:pPr>
      <w:r>
        <w:rPr>
          <w:b/>
          <w:color w:val="1F1F1F"/>
          <w:sz w:val="18"/>
        </w:rPr>
        <w:t xml:space="preserve">• LLM risk assessment on ChatGPT Health: </w:t>
      </w:r>
      <w:r>
        <w:rPr>
          <w:color w:val="1F1F1F"/>
          <w:sz w:val="18"/>
        </w:rPr>
        <w:t xml:space="preserve">Privacy, governance, compliance, and ethical usage framing across 6 risk dimensions.</w:t>
      </w:r>
    </w:p>
    <w:p>
      <w:pPr>
        <w:spacing w:before="0" w:after="40" w:line="240" w:lineRule="auto"/>
      </w:pPr>
      <w:r>
        <w:rPr>
          <w:color w:val="1F1F1F"/>
          <w:sz w:val="18"/>
        </w:rPr>
        <w:t xml:space="preserve">• </w:t>
      </w:r>
      <w:hyperlink r:id="rIdHyperlink3">
        <w:r>
          <w:rPr>
            <w:b/>
            <w:color w:val="17365D"/>
            <w:sz w:val="18"/>
            <w:u w:val="single"/>
          </w:rPr>
          <w:t xml:space="preserve">AI Guardians</w:t>
        </w:r>
      </w:hyperlink>
      <w:r>
        <w:rPr>
          <w:color w:val="1F1F1F"/>
          <w:sz w:val="18"/>
        </w:rPr>
        <w:t xml:space="preserve"> AI Transformation Services: AI readiness, governance and risk, use-case prioritization, ROI, vendor evaluation, policy, Agent oversight.</w:t>
      </w:r>
    </w:p>
    <w:p>
      <w:pPr>
        <w:spacing w:before="0" w:after="40" w:line="240" w:lineRule="auto"/>
      </w:pPr>
      <w:r>
        <w:rPr>
          <w:b/>
          <w:color w:val="1F1F1F"/>
          <w:sz w:val="18"/>
        </w:rPr>
        <w:t xml:space="preserve">• Enterprise AI roadmap: </w:t>
      </w:r>
      <w:r>
        <w:rPr>
          <w:color w:val="1F1F1F"/>
          <w:sz w:val="18"/>
        </w:rPr>
        <w:t xml:space="preserve">Authored 3-year enterprise AI strategy for Mile High Logistics covering maturity assessment, opportunity identification, budgeting, ROI modeling, and executive strategy communication.</w:t>
      </w:r>
    </w:p>
    <w:p>
      <w:pPr>
        <w:spacing w:before="120" w:after="40" w:line="240" w:lineRule="auto"/>
        <w:pBdr>
          <w:bottom w:val="single" w:sz="6" w:space="4" w:color="17365D"/>
        </w:pBdr>
      </w:pPr>
      <w:r>
        <w:rPr>
          <w:b/>
          <w:color w:val="17365D"/>
          <w:sz w:val="20"/>
        </w:rPr>
        <w:t xml:space="preserve">PROFESSIONAL EXPERIENCE</w:t>
      </w:r>
    </w:p>
    <w:p>
      <w:pPr>
        <w:spacing w:before="60" w:after="40" w:line="240" w:lineRule="auto"/>
        <w:shd w:val="clear" w:color="auto" w:fill="EBF1F5"/>
      </w:pPr>
      <w:r>
        <w:rPr>
          <w:b/>
          <w:color w:val="17365D"/>
          <w:sz w:val="19"/>
        </w:rPr>
        <w:t xml:space="preserve">PROGRAM ANALYST, ACQUISITIONS DIRECTORATE | U.S. DEPARTMENT OF THE INTERIOR	Denver, CO | Jan–Sep 2025</w:t>
      </w:r>
    </w:p>
    <w:p>
      <w:pPr>
        <w:spacing w:before="0" w:after="40" w:line="240" w:lineRule="auto"/>
      </w:pPr>
      <w:r>
        <w:rPr>
          <w:color w:val="1F1F1F"/>
          <w:sz w:val="18"/>
        </w:rPr>
        <w:t xml:space="preserve">• Senior operational and functional lead for the Acquisition Directorate's contracting business operations, serving as top escalation resource for mission-critical acquisition and financial systems in a GS-13-level environment.</w:t>
      </w:r>
    </w:p>
    <w:p>
      <w:pPr>
        <w:spacing w:before="0" w:after="40" w:line="240" w:lineRule="auto"/>
      </w:pPr>
      <w:r>
        <w:rPr>
          <w:color w:val="1F1F1F"/>
          <w:sz w:val="18"/>
        </w:rPr>
        <w:t xml:space="preserve">• Owned enterprise application support for mission-critical procurement and financial systems, keeping them compliant, secure, and available under strict federal data-governance requirements.</w:t>
      </w:r>
    </w:p>
    <w:p>
      <w:pPr>
        <w:spacing w:before="0" w:after="40" w:line="240" w:lineRule="auto"/>
      </w:pPr>
      <w:r>
        <w:rPr>
          <w:color w:val="1F1F1F"/>
          <w:sz w:val="18"/>
        </w:rPr>
        <w:t xml:space="preserve">• Served as senior escalation resource for system issues impacting contracting operations, coordinating incident resolution across technical and business teams to shorten time-to-resolution.</w:t>
      </w:r>
    </w:p>
    <w:p>
      <w:pPr>
        <w:spacing w:before="0" w:after="40" w:line="240" w:lineRule="auto"/>
      </w:pPr>
      <w:r>
        <w:rPr>
          <w:color w:val="1F1F1F"/>
          <w:sz w:val="18"/>
        </w:rPr>
        <w:t xml:space="preserve">• Delivered targeted user training and operational guidance that improved system adoption and reduced repeat support requests across the directorate.</w:t>
      </w:r>
    </w:p>
    <w:p>
      <w:pPr>
        <w:spacing w:before="100" w:after="40" w:line="240" w:lineRule="auto"/>
        <w:shd w:val="clear" w:color="auto" w:fill="EBF1F5"/>
      </w:pPr>
      <w:r>
        <w:rPr>
          <w:b/>
          <w:color w:val="17365D"/>
          <w:sz w:val="19"/>
        </w:rPr>
        <w:t xml:space="preserve">SENIOR ANALYST CONSULTANT | ARKSOLUTIONS — CLIENT: IBC ACQUISITION DIRECTORATE	Denver, CO | 2011–2025</w:t>
      </w:r>
    </w:p>
    <w:p>
      <w:pPr>
        <w:spacing w:before="0" w:after="40" w:line="240" w:lineRule="auto"/>
      </w:pPr>
      <w:r>
        <w:rPr>
          <w:color w:val="1F1F1F"/>
          <w:sz w:val="18"/>
        </w:rPr>
        <w:t xml:space="preserve">• Architected DOI FBMS data conversion and translated complex business requirements into integrated enterprise workflows; recognized with two Department of the Interior awards.</w:t>
      </w:r>
    </w:p>
    <w:p>
      <w:pPr>
        <w:spacing w:before="0" w:after="40" w:line="240" w:lineRule="auto"/>
      </w:pPr>
      <w:r>
        <w:rPr>
          <w:color w:val="1F1F1F"/>
          <w:sz w:val="18"/>
        </w:rPr>
        <w:t xml:space="preserve">• Reclaimed $1M+ in recurring annual savings through government contract funds deobligation, executing funds realignment that resolved financial discrepancies between contracting officials and service providers.</w:t>
      </w:r>
    </w:p>
    <w:p>
      <w:pPr>
        <w:spacing w:before="0" w:after="40" w:line="240" w:lineRule="auto"/>
      </w:pPr>
      <w:r>
        <w:rPr>
          <w:color w:val="1F1F1F"/>
          <w:sz w:val="18"/>
        </w:rPr>
        <w:t xml:space="preserve">• Served as Unison PRISM administrator for seven years, overseeing access management, data integrity, procurement workflows, and stakeholder support across the Acquisition Directorate.</w:t>
      </w:r>
    </w:p>
    <w:p>
      <w:pPr>
        <w:spacing w:before="0" w:after="40" w:line="240" w:lineRule="auto"/>
      </w:pPr>
      <w:r>
        <w:rPr>
          <w:color w:val="1F1F1F"/>
          <w:sz w:val="18"/>
        </w:rPr>
        <w:t xml:space="preserve">• Resolved 5 to 10 mission-critical business issues daily through root-cause analysis, workflow correction, testing, and cross-functional coordination.</w:t>
      </w:r>
    </w:p>
    <w:p>
      <w:pPr>
        <w:spacing w:before="0" w:after="40" w:line="240" w:lineRule="auto"/>
      </w:pPr>
      <w:r>
        <w:rPr>
          <w:color w:val="1F1F1F"/>
          <w:sz w:val="18"/>
        </w:rPr>
        <w:t xml:space="preserve">• Designed and delivered operational training for 85+ users, improving adoption and reducing repeat support demand.</w:t>
      </w:r>
    </w:p>
    <w:p>
      <w:pPr>
        <w:spacing w:before="0" w:after="40" w:line="240" w:lineRule="auto"/>
      </w:pPr>
      <w:r>
        <w:rPr>
          <w:color w:val="1F1F1F"/>
          <w:sz w:val="18"/>
        </w:rPr>
        <w:t xml:space="preserve">• Chief POC for IPP Payment, Vendor Invoicing, Accounts Payable, and Core Financials Funds Management; mediated aviation vendor IPAC billing disputes.</w:t>
      </w:r>
    </w:p>
    <w:p>
      <w:pPr>
        <w:spacing w:before="0" w:after="40" w:line="240" w:lineRule="auto"/>
      </w:pPr>
      <w:r>
        <w:rPr>
          <w:color w:val="1F1F1F"/>
          <w:sz w:val="18"/>
        </w:rPr>
        <w:t xml:space="preserve">• Supported contracting officials with special FBMS defense award exemption procedures and assisted with DARPA project contract modifications.</w:t>
      </w:r>
    </w:p>
    <w:p>
      <w:pPr>
        <w:spacing w:before="100" w:after="40" w:line="240" w:lineRule="auto"/>
        <w:shd w:val="clear" w:color="auto" w:fill="EBF1F5"/>
      </w:pPr>
      <w:r>
        <w:rPr>
          <w:b/>
          <w:color w:val="17365D"/>
          <w:sz w:val="19"/>
        </w:rPr>
        <w:t xml:space="preserve">SOLUTIONS DEVELOPER / SOLUTION ARCHITECT | ACXIOM CORPORATION	1999–2010</w:t>
      </w:r>
    </w:p>
    <w:p>
      <w:pPr>
        <w:spacing w:before="0" w:after="40" w:line="240" w:lineRule="auto"/>
      </w:pPr>
      <w:r>
        <w:rPr>
          <w:color w:val="1F1F1F"/>
          <w:sz w:val="18"/>
        </w:rPr>
        <w:t xml:space="preserve">• Built Citibank's first Online Identity Scoring Model (early AI/ML) and provided production support for the Application Verification System (AVS).</w:t>
      </w:r>
    </w:p>
    <w:p>
      <w:pPr>
        <w:spacing w:before="0" w:after="40" w:line="240" w:lineRule="auto"/>
      </w:pPr>
      <w:r>
        <w:rPr>
          <w:color w:val="1F1F1F"/>
          <w:sz w:val="18"/>
        </w:rPr>
        <w:t xml:space="preserve">• Supported customer identity-verification solutions for financial-services and insurance clients; gathered requirements, analyzed customer data needs, and designed Oracle data warehouses.</w:t>
      </w:r>
    </w:p>
    <w:p>
      <w:pPr>
        <w:spacing w:before="0" w:after="40" w:line="240" w:lineRule="auto"/>
      </w:pPr>
      <w:r>
        <w:rPr>
          <w:color w:val="1F1F1F"/>
          <w:sz w:val="18"/>
        </w:rPr>
        <w:t xml:space="preserve">• Standardized company-wide SDLC/SCM methodology and led cross-functional process-improvement teams.</w:t>
      </w:r>
    </w:p>
    <w:p>
      <w:pPr>
        <w:spacing w:before="120" w:after="40" w:line="240" w:lineRule="auto"/>
        <w:pBdr>
          <w:bottom w:val="single" w:sz="6" w:space="4" w:color="17365D"/>
        </w:pBdr>
      </w:pPr>
      <w:r>
        <w:rPr>
          <w:b/>
          <w:color w:val="17365D"/>
          <w:sz w:val="20"/>
        </w:rPr>
        <w:t xml:space="preserve">EDUCATION &amp; CREDENTIALS</w:t>
      </w:r>
    </w:p>
    <w:p>
      <w:pPr>
        <w:spacing w:before="0" w:after="40" w:line="240" w:lineRule="auto"/>
      </w:pPr>
      <w:r>
        <w:rPr>
          <w:b/>
          <w:color w:val="17365D"/>
          <w:sz w:val="18"/>
        </w:rPr>
        <w:t xml:space="preserve">Graduate Certificate, AI Strategy &amp; Applications in IT</w:t>
      </w:r>
      <w:r>
        <w:rPr>
          <w:color w:val="1F1F1F"/>
          <w:sz w:val="18"/>
        </w:rPr>
        <w:t xml:space="preserve"> : University of Denver</w:t>
      </w:r>
    </w:p>
    <w:p>
      <w:pPr>
        <w:spacing w:before="0" w:after="40" w:line="240" w:lineRule="auto"/>
      </w:pPr>
      <w:r>
        <w:rPr>
          <w:b/>
          <w:color w:val="17365D"/>
          <w:sz w:val="18"/>
        </w:rPr>
        <w:t xml:space="preserve">M.S. &amp; B.S., Computer Science</w:t>
      </w:r>
      <w:r>
        <w:rPr>
          <w:color w:val="1F1F1F"/>
          <w:sz w:val="18"/>
        </w:rPr>
        <w:t xml:space="preserve"> : St. Joseph's College</w:t>
      </w:r>
    </w:p>
    <w:p>
      <w:pPr>
        <w:spacing w:before="0" w:after="40" w:line="240" w:lineRule="auto"/>
      </w:pPr>
      <w:r>
        <w:rPr>
          <w:b/>
          <w:color w:val="17365D"/>
          <w:sz w:val="18"/>
        </w:rPr>
        <w:t xml:space="preserve">LLM &amp; Agentic AI</w:t>
      </w:r>
      <w:r>
        <w:rPr>
          <w:color w:val="1F1F1F"/>
          <w:sz w:val="18"/>
        </w:rPr>
        <w:t xml:space="preserve"> : Harvard School of Engineering and Applied Sciences</w:t>
      </w:r>
    </w:p>
    <w:p>
      <w:pPr>
        <w:spacing w:before="0" w:after="40" w:line="240" w:lineRule="auto"/>
      </w:pPr>
      <w:r>
        <w:rPr>
          <w:b/>
          <w:color w:val="C00000"/>
          <w:sz w:val="18"/>
        </w:rPr>
        <w:t xml:space="preserve">Awards: </w:t>
      </w:r>
      <w:r>
        <w:rPr>
          <w:color w:val="1F1F1F"/>
          <w:sz w:val="18"/>
        </w:rPr>
        <w:t xml:space="preserve">Interior Business Center Award for Excellence · DOI FBMS Special Recognition Award</w:t>
      </w:r>
    </w:p>
    <w:p>
      <w:pPr>
        <w:spacing w:before="120" w:after="40" w:line="240" w:lineRule="auto"/>
        <w:pBdr>
          <w:bottom w:val="single" w:sz="6" w:space="4" w:color="17365D"/>
        </w:pBdr>
      </w:pPr>
      <w:r>
        <w:rPr>
          <w:b/>
          <w:color w:val="17365D"/>
          <w:sz w:val="20"/>
        </w:rPr>
        <w:t xml:space="preserve">TECHNICAL PROFICIENCIES</w:t>
      </w:r>
    </w:p>
    <w:p>
      <w:pPr>
        <w:spacing w:before="0" w:after="40" w:line="240" w:lineRule="auto"/>
      </w:pPr>
      <w:r>
        <w:rPr>
          <w:b/>
          <w:color w:val="17365D"/>
          <w:sz w:val="18"/>
        </w:rPr>
        <w:t xml:space="preserve">AI Toolset: </w:t>
      </w:r>
      <w:r>
        <w:rPr>
          <w:color w:val="1F1F1F"/>
          <w:sz w:val="18"/>
        </w:rPr>
        <w:t xml:space="preserve">Azure OpenAI APIs, Microsoft Copilot, RAG, agentic AI workflows, Claude, Cursor, Qdrant, REST APIs</w:t>
      </w:r>
    </w:p>
    <w:p>
      <w:pPr>
        <w:spacing w:before="0" w:after="40" w:line="240" w:lineRule="auto"/>
      </w:pPr>
      <w:r>
        <w:rPr>
          <w:b/>
          <w:color w:val="17365D"/>
          <w:sz w:val="18"/>
        </w:rPr>
        <w:t xml:space="preserve">Data &amp; Analytics: </w:t>
      </w:r>
      <w:r>
        <w:rPr>
          <w:color w:val="1F1F1F"/>
          <w:sz w:val="18"/>
        </w:rPr>
        <w:t xml:space="preserve">SQL, Python, PL/SQL, Apache Spark, PySpark, Tableau, Matplotlib, NumPy, Jupyter, ETL</w:t>
      </w:r>
    </w:p>
    <w:p>
      <w:pPr>
        <w:spacing w:before="0" w:after="40" w:line="240" w:lineRule="auto"/>
      </w:pPr>
      <w:r>
        <w:rPr>
          <w:b/>
          <w:color w:val="17365D"/>
          <w:sz w:val="18"/>
        </w:rPr>
        <w:t xml:space="preserve">Enterprise &amp; Systems: </w:t>
      </w:r>
      <w:r>
        <w:rPr>
          <w:color w:val="1F1F1F"/>
          <w:sz w:val="18"/>
        </w:rPr>
        <w:t xml:space="preserve">Oracle, SQL Server, Sybase, SAP S/4, Unison PRISM, FBMS, IPP, Application Verification System</w:t>
      </w:r>
    </w:p>
    <w:sectPr>
      <w:pgSz w:w="12240" w:h="15840"/>
      <w:pgMar w:top="720" w:right="893" w:bottom="720" w:left="893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0"/>
        <w:color w:val="1F1F1F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Hyperlink1" Type="http://schemas.openxmlformats.org/officeDocument/2006/relationships/hyperlink" Target="https://www.linkedin.com/in/ebenezer-rolston/" TargetMode="External"/>
  <Relationship Id="rIdHyperlink2" Type="http://schemas.openxmlformats.org/officeDocument/2006/relationships/hyperlink" Target="https://portal.aiguardiansllc.us/" TargetMode="External"/>
  <Relationship Id="rIdHyperlink3" Type="http://schemas.openxmlformats.org/officeDocument/2006/relationships/hyperlink" Target="https://portal.aiguardiansllc.us/" TargetMode="External"/>
</Relationships>
</file>