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rFonts w:ascii="Cambria" w:hAnsi="Cambria"/>
          <w:b/>
          <w:color w:val="17365D"/>
          <w:sz w:val="26"/>
        </w:rPr>
        <w:t xml:space="preserve">Interview Preparation &amp; Strategy Guide: Senior Technical Business Analyst (AI &amp; IDP)</w:t>
      </w:r>
    </w:p>
    <w:p>
      <w:pPr>
        <w:jc w:val="center"/>
        <w:spacing w:before="0" w:after="20" w:line="240" w:lineRule="auto"/>
      </w:pPr>
      <w:r>
        <w:rPr>
          <w:rFonts w:ascii="Cambria" w:hAnsi="Cambria"/>
          <w:b/>
          <w:color w:val="5B9BD5"/>
          <w:sz w:val="20"/>
        </w:rPr>
        <w:t xml:space="preserve">Leidos • Target Candidate: Ebenezer J. Rolston</w:t>
      </w:r>
    </w:p>
    <w:p>
      <w:pPr>
        <w:jc w:val="center"/>
        <w:spacing w:before="0" w:after="80" w:line="240" w:lineRule="auto"/>
        <w:pBdr>
          <w:bottom w:val="single" w:sz="6" w:space="4" w:color="17365D"/>
        </w:pBdr>
      </w:pPr>
      <w:r>
        <w:rPr>
          <w:color w:val="4F4F4F"/>
          <w:sz w:val="18"/>
        </w:rPr>
        <w:t xml:space="preserve">Comprehensive STAR Defense Points &amp; Value Proposition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1. KEY TALKING POINTS</w:t>
      </w:r>
    </w:p>
    <w:p>
      <w:pPr>
        <w:spacing w:before="0" w:after="30" w:line="240" w:lineRule="auto"/>
      </w:pPr>
      <w:r>
        <w:rPr>
          <w:b/>
          <w:color w:val="17365D"/>
          <w:sz w:val="19"/>
        </w:rPr>
        <w:t xml:space="preserve">• Core Pillar 1: Enterprise Systems Delivery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Highlight 14 years supporting DOI acquisition platforms and 12-database FBMS data conversion honored with 2 Interior Department awards.</w:t>
      </w:r>
    </w:p>
    <w:p>
      <w:pPr>
        <w:spacing w:before="0" w:after="30" w:line="240" w:lineRule="auto"/>
      </w:pPr>
      <w:r>
        <w:rPr>
          <w:b/>
          <w:color w:val="17365D"/>
          <w:sz w:val="19"/>
        </w:rPr>
        <w:t xml:space="preserve">• Core Pillar 2: Financial Accuracy &amp; Cost Recovery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Reclaimed $1M+ annually in deobligated contract funds through rigorous transaction reconciliations and ledger auditing.</w:t>
      </w:r>
    </w:p>
    <w:p>
      <w:pPr>
        <w:spacing w:before="0" w:after="30" w:line="240" w:lineRule="auto"/>
      </w:pPr>
      <w:r>
        <w:rPr>
          <w:b/>
          <w:color w:val="17365D"/>
          <w:sz w:val="19"/>
        </w:rPr>
        <w:t xml:space="preserve">• Core Pillar 3: AI Strategy &amp; Modern Enablement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Emphasize University of Denver Graduate Certificate in AI Strategy, responsible AI governance, and automated workflow design.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</Relationships>
</file>