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40" w:line="240" w:lineRule="auto"/>
      </w:pPr>
      <w:r>
        <w:rPr>
          <w:b/>
          <w:color w:val="17365D"/>
          <w:sz w:val="24"/>
        </w:rPr>
        <w:t xml:space="preserve">Comprehensive Interview Preparation Package: Technical Support Engineer</w:t>
      </w:r>
    </w:p>
    <w:p>
      <w:pPr>
        <w:spacing w:before="0" w:after="100" w:line="240" w:lineRule="auto"/>
        <w:pBdr>
          <w:bottom w:val="single" w:sz="6" w:space="4" w:color="17365D"/>
        </w:pBdr>
      </w:pPr>
      <w:r>
        <w:rPr>
          <w:color w:val="1F1F1F"/>
          <w:sz w:val="18"/>
        </w:rPr>
        <w:t xml:space="preserve">Company: LiveRamp, Inc. • Role: Technical Support Engineer • Candidate: Ebenezer J. Rolston</w:t>
      </w:r>
    </w:p>
    <w:p>
      <w:pPr>
        <w:spacing w:before="100" w:after="40" w:line="240" w:lineRule="auto"/>
        <w:pBdr>
          <w:bottom w:val="single" w:sz="6" w:space="4" w:color="17365D"/>
        </w:pBdr>
      </w:pPr>
      <w:r>
        <w:rPr>
          <w:b/>
          <w:color w:val="17365D"/>
          <w:sz w:val="20"/>
        </w:rPr>
        <w:t xml:space="preserve">1. EXECUTIVE SUMMARY &amp; FIT OVERVIEW</w:t>
      </w:r>
    </w:p>
    <w:p>
      <w:pPr>
        <w:spacing w:before="0" w:after="40" w:line="240" w:lineRule="auto"/>
      </w:pPr>
      <w:r>
        <w:rPr>
          <w:b/>
          <w:color w:val="008000"/>
          <w:sz w:val="18"/>
        </w:rPr>
        <w:t xml:space="preserve">• Organization: </w:t>
      </w:r>
      <w:r>
        <w:rPr>
          <w:color w:val="1F1F1F"/>
          <w:sz w:val="18"/>
        </w:rPr>
        <w:t xml:space="preserve">LiveRamp, Inc. (NYSE: RAMP) — the global leader in data collaboration, identity resolution (RampID), and privacy-first marketing technology.</w:t>
      </w:r>
    </w:p>
    <w:p>
      <w:pPr>
        <w:spacing w:before="0" w:after="40" w:line="240" w:lineRule="auto"/>
      </w:pPr>
      <w:r>
        <w:rPr>
          <w:b/>
          <w:color w:val="008000"/>
          <w:sz w:val="18"/>
        </w:rPr>
        <w:t xml:space="preserve">• Support Role Scope: </w:t>
      </w:r>
      <w:r>
        <w:rPr>
          <w:color w:val="1F1F1F"/>
          <w:sz w:val="18"/>
        </w:rPr>
        <w:t xml:space="preserve">Individual contributor role within the Global Technical Support team, troubleshooting complex customer tickets for brands, agencies, and financial institutions.</w:t>
      </w:r>
    </w:p>
    <w:p>
      <w:pPr>
        <w:spacing w:before="0" w:after="40" w:line="240" w:lineRule="auto"/>
      </w:pPr>
      <w:r>
        <w:rPr>
          <w:b/>
          <w:color w:val="008000"/>
          <w:sz w:val="18"/>
        </w:rPr>
        <w:t xml:space="preserve">• Candidate Connection: </w:t>
      </w:r>
      <w:r>
        <w:rPr>
          <w:color w:val="1F1F1F"/>
          <w:sz w:val="18"/>
        </w:rPr>
        <w:t xml:space="preserve">Ebenezer spent 11 years at Acxiom Corporation in Conway/Little Rock—the exact company from which LiveRamp spun out—bringing native familiarity with identity graphs, data hygiene, and SQL diagnostics.</w:t>
      </w:r>
    </w:p>
    <w:p>
      <w:pPr>
        <w:spacing w:before="100" w:after="40" w:line="240" w:lineRule="auto"/>
        <w:pBdr>
          <w:bottom w:val="single" w:sz="6" w:space="4" w:color="17365D"/>
        </w:pBdr>
      </w:pPr>
      <w:r>
        <w:rPr>
          <w:b/>
          <w:color w:val="17365D"/>
          <w:sz w:val="20"/>
        </w:rPr>
        <w:t xml:space="preserve">2. ROLE &amp; COMPANY CONTEXT (LIVERAMP ECOSYSTEM)</w:t>
      </w:r>
    </w:p>
    <w:p>
      <w:pPr>
        <w:spacing w:before="0" w:after="40" w:line="240" w:lineRule="auto"/>
      </w:pPr>
      <w:r>
        <w:rPr>
          <w:b/>
          <w:color w:val="17365D"/>
          <w:sz w:val="18"/>
        </w:rPr>
        <w:t xml:space="preserve">• Core Identity Architecture: </w:t>
      </w:r>
      <w:r>
        <w:rPr>
          <w:color w:val="1F1F1F"/>
          <w:sz w:val="18"/>
        </w:rPr>
        <w:t xml:space="preserve">RampID (pseudonymous, deterministic, people-based identifier replacing third-party cookies) and Authenticated Traffic Solution (ATS).</w:t>
      </w:r>
    </w:p>
    <w:p>
      <w:pPr>
        <w:spacing w:before="0" w:after="40" w:line="240" w:lineRule="auto"/>
      </w:pPr>
      <w:r>
        <w:rPr>
          <w:b/>
          <w:color w:val="17365D"/>
          <w:sz w:val="18"/>
        </w:rPr>
        <w:t xml:space="preserve">• Support Challenge: </w:t>
      </w:r>
      <w:r>
        <w:rPr>
          <w:color w:val="1F1F1F"/>
          <w:sz w:val="18"/>
        </w:rPr>
        <w:t xml:space="preserve">Enterprise clients encounter ingestion syntax errors, schema mismatches, API rate limits, data clean room query timeouts, and match rate discrepancies that require deep log and database investigation.</w:t>
      </w:r>
    </w:p>
    <w:p>
      <w:pPr>
        <w:spacing w:before="0" w:after="40" w:line="240" w:lineRule="auto"/>
      </w:pPr>
      <w:r>
        <w:rPr>
          <w:b/>
          <w:color w:val="17365D"/>
          <w:sz w:val="18"/>
        </w:rPr>
        <w:t xml:space="preserve">• Team Mission: </w:t>
      </w:r>
      <w:r>
        <w:rPr>
          <w:color w:val="1F1F1F"/>
          <w:sz w:val="18"/>
        </w:rPr>
        <w:t xml:space="preserve">Resolve client tickets with speed and precision, de-escalate urgent issues on video calls, and provide feedback to core engineering.</w:t>
      </w:r>
    </w:p>
    <w:p>
      <w:pPr>
        <w:spacing w:before="100" w:after="40" w:line="240" w:lineRule="auto"/>
        <w:pBdr>
          <w:bottom w:val="single" w:sz="6" w:space="4" w:color="17365D"/>
        </w:pBdr>
      </w:pPr>
      <w:r>
        <w:rPr>
          <w:b/>
          <w:color w:val="17365D"/>
          <w:sz w:val="20"/>
        </w:rPr>
        <w:t xml:space="preserve">3. CANDIDATE FIT NARRATIVE &amp; HONEST GAP MAP</w:t>
      </w:r>
    </w:p>
    <w:p>
      <w:pPr>
        <w:spacing w:before="0" w:after="40" w:line="240" w:lineRule="auto"/>
      </w:pPr>
      <w:r>
        <w:rPr>
          <w:b/>
          <w:color w:val="008000"/>
          <w:sz w:val="18"/>
        </w:rPr>
        <w:t xml:space="preserve">• Direct Strengths: </w:t>
      </w:r>
      <w:r>
        <w:rPr>
          <w:color w:val="1F1F1F"/>
          <w:sz w:val="18"/>
        </w:rPr>
        <w:t xml:space="preserve">11 years at Acxiom in CDI and on-call production support (AVS); 14 years resolving 5–10 critical tickets/day at DOI; expert SQL querying; poised video communicator.</w:t>
      </w:r>
    </w:p>
    <w:p>
      <w:pPr>
        <w:spacing w:before="0" w:after="40" w:line="240" w:lineRule="auto"/>
      </w:pPr>
      <w:r>
        <w:rPr>
          <w:b/>
          <w:color w:val="C00000"/>
          <w:sz w:val="18"/>
        </w:rPr>
        <w:t xml:space="preserve">• Honest Learning Bridge (Do Not Over-Claim): </w:t>
      </w:r>
      <w:r>
        <w:rPr>
          <w:color w:val="1F1F1F"/>
          <w:sz w:val="18"/>
        </w:rPr>
        <w:t xml:space="preserve">Candidate frames Acxiom tenure accurately (1999–2010 pre-rebranding). Candidate bridges LiveRamp's specific web portal and modern SaaS ticketing tools rapidly via structured onboarding.</w:t>
      </w:r>
    </w:p>
    <w:p>
      <w:pPr>
        <w:spacing w:before="100" w:after="40" w:line="240" w:lineRule="auto"/>
        <w:pBdr>
          <w:bottom w:val="single" w:sz="6" w:space="4" w:color="17365D"/>
        </w:pBdr>
      </w:pPr>
      <w:r>
        <w:rPr>
          <w:b/>
          <w:color w:val="17365D"/>
          <w:sz w:val="20"/>
        </w:rPr>
        <w:t xml:space="preserve">4. 60–90 SECOND SPOKEN ELEVATOR PITCH</w:t>
      </w:r>
    </w:p>
    <w:p>
      <w:pPr>
        <w:spacing w:before="0" w:after="100" w:line="240" w:lineRule="auto"/>
      </w:pPr>
      <w:r>
        <w:rPr>
          <w:i/>
          <w:color w:val="1F1F1F"/>
          <w:sz w:val="19"/>
        </w:rPr>
        <w:t xml:space="preserve">Hello, I'm Ebenezer Rolston. I'm excited to speak with you about the Technical Support Engineer role at LiveRamp because my background brings a rare alignment with your mission, your technology, and your roots. I spent 11 years at Acxiom in Conway and Little Rock as a Solutions Developer and Architect, where I provided on-call production support for customer data integration pipelines, built Citibank's first online identity scoring model, and lived the exact data matching principles that evolved into RampID. Over the past 14 years at the Department of the Interior, I served as a senior escalation lead managing daily ticket queues for mission-critical enterprise systems, resolving 5 to 10 high-stakes incidents a day under strict SLAs. When issues arose, there were no step-by-step runbooks—I investigated database logs, executed custom SQL queries to isolate data anomalies, and jumped on video conferences with stakeholders to explain technical solutions with clarity and poise. I love hands-on technical troubleshooting, I love delighting customers, and having deep roots in Little Rock, I am thrilled at the prospect of supporting LiveRamp's clients as you continue to lead the future of responsible data collaboration.</w:t>
      </w:r>
    </w:p>
    <w:p>
      <w:pPr>
        <w:spacing w:before="100" w:after="40" w:line="240" w:lineRule="auto"/>
        <w:pBdr>
          <w:bottom w:val="single" w:sz="6" w:space="4" w:color="17365D"/>
        </w:pBdr>
      </w:pPr>
      <w:r>
        <w:rPr>
          <w:b/>
          <w:color w:val="17365D"/>
          <w:sz w:val="20"/>
        </w:rPr>
        <w:t xml:space="preserve">5. CORE COMPETENCY ALIGNMENT &amp; TECHNOLOGY MATRIX</w:t>
      </w:r>
    </w:p>
    <w:p>
      <w:pPr>
        <w:spacing w:before="0" w:after="40" w:line="240" w:lineRule="auto"/>
      </w:pPr>
      <w:r>
        <w:rPr>
          <w:b/>
          <w:color w:val="17365D"/>
          <w:sz w:val="18"/>
        </w:rPr>
        <w:t xml:space="preserve">• Database &amp; SQL Fluency: </w:t>
      </w:r>
      <w:r>
        <w:rPr>
          <w:color w:val="1F1F1F"/>
          <w:sz w:val="18"/>
        </w:rPr>
        <w:t xml:space="preserve">Complex multi-table joins, subqueries, group by, indexing, execution plans, Oracle PL/SQL, PostgreSQL, MySQL.</w:t>
      </w:r>
    </w:p>
    <w:p>
      <w:pPr>
        <w:spacing w:before="0" w:after="40" w:line="240" w:lineRule="auto"/>
      </w:pPr>
      <w:r>
        <w:rPr>
          <w:b/>
          <w:color w:val="17365D"/>
          <w:sz w:val="18"/>
        </w:rPr>
        <w:t xml:space="preserve">• System Diagnostics &amp; Log Analysis: </w:t>
      </w:r>
      <w:r>
        <w:rPr>
          <w:color w:val="1F1F1F"/>
          <w:sz w:val="18"/>
        </w:rPr>
        <w:t xml:space="preserve">Inspecting application event logs, HTTP response codes (4xx/5xx), JSON/XML payload validation, Postman API testing.</w:t>
      </w:r>
    </w:p>
    <w:p>
      <w:pPr>
        <w:spacing w:before="0" w:after="40" w:line="240" w:lineRule="auto"/>
      </w:pPr>
      <w:r>
        <w:rPr>
          <w:b/>
          <w:color w:val="17365D"/>
          <w:sz w:val="18"/>
        </w:rPr>
        <w:t xml:space="preserve">• Queue Management &amp; SLAs: </w:t>
      </w:r>
      <w:r>
        <w:rPr>
          <w:color w:val="1F1F1F"/>
          <w:sz w:val="18"/>
        </w:rPr>
        <w:t xml:space="preserve">Triage methodology, priority matrix (P1 critical outage vs. P3 question), first-response SLA, time-to-resolution tracking.</w:t>
      </w:r>
    </w:p>
    <w:p>
      <w:pPr>
        <w:spacing w:before="100" w:after="40" w:line="240" w:lineRule="auto"/>
        <w:pBdr>
          <w:bottom w:val="single" w:sz="6" w:space="4" w:color="17365D"/>
        </w:pBdr>
      </w:pPr>
      <w:r>
        <w:rPr>
          <w:b/>
          <w:color w:val="17365D"/>
          <w:sz w:val="20"/>
        </w:rPr>
        <w:t xml:space="preserve">6. STAR BEHAVIORAL STORIES (5 SCENARIOS)</w:t>
      </w:r>
    </w:p>
    <w:p>
      <w:pPr>
        <w:spacing w:before="0" w:after="40" w:line="240" w:lineRule="auto"/>
      </w:pPr>
      <w:r>
        <w:rPr>
          <w:b/>
          <w:color w:val="17365D"/>
          <w:sz w:val="18"/>
        </w:rPr>
        <w:t xml:space="preserve">• Story 1: Production Pipeline Failure / Ingestion Discrepancy (Acxiom AVS On-Call): </w:t>
      </w:r>
      <w:r>
        <w:rPr>
          <w:color w:val="1F1F1F"/>
          <w:sz w:val="18"/>
        </w:rPr>
        <w:t xml:space="preserve">Diagnosed nocturnal batch failure in Citibank identity pipeline. Dissected error logs, identified unexpected character encoding in client payload, patched SQL transformation script, and resumed pipeline before 6 AM SLA.</w:t>
      </w:r>
    </w:p>
    <w:p>
      <w:pPr>
        <w:spacing w:before="0" w:after="40" w:line="240" w:lineRule="auto"/>
      </w:pPr>
      <w:r>
        <w:rPr>
          <w:b/>
          <w:color w:val="17365D"/>
          <w:sz w:val="18"/>
        </w:rPr>
        <w:t xml:space="preserve">• Story 2: Complex Troubleshooting Without Runbooks (DOI FBMS / PRISM): </w:t>
      </w:r>
      <w:r>
        <w:rPr>
          <w:color w:val="1F1F1F"/>
          <w:sz w:val="18"/>
        </w:rPr>
        <w:t xml:space="preserve">Isolated silent transaction rollback across procurement platform. Queried Oracle database audit tables, inspected transaction logs, identified database lock timeout, and coordinated DBA index rebuild.</w:t>
      </w:r>
    </w:p>
    <w:p>
      <w:pPr>
        <w:spacing w:before="0" w:after="40" w:line="240" w:lineRule="auto"/>
      </w:pPr>
      <w:r>
        <w:rPr>
          <w:b/>
          <w:color w:val="17365D"/>
          <w:sz w:val="18"/>
        </w:rPr>
        <w:t xml:space="preserve">• Story 3: High-Stakes Customer De-escalation on Video Call: </w:t>
      </w:r>
      <w:r>
        <w:rPr>
          <w:color w:val="1F1F1F"/>
          <w:sz w:val="18"/>
        </w:rPr>
        <w:t xml:space="preserve">De-escalated senior agency director during fiscal year-end system freeze. Led emergency screen-share session, identified user session caching conflict, cleared roadblocks, and restored complete client confidence.</w:t>
      </w:r>
    </w:p>
    <w:p>
      <w:pPr>
        <w:spacing w:before="0" w:after="40" w:line="240" w:lineRule="auto"/>
      </w:pPr>
      <w:r>
        <w:rPr>
          <w:b/>
          <w:color w:val="17365D"/>
          <w:sz w:val="18"/>
        </w:rPr>
        <w:t xml:space="preserve">• Story 4: Queue Optimization &amp; Ticket Deflection: </w:t>
      </w:r>
      <w:r>
        <w:rPr>
          <w:color w:val="1F1F1F"/>
          <w:sz w:val="18"/>
        </w:rPr>
        <w:t xml:space="preserve">Analyzed 6-month ticket backlog patterns in Remedy, identified recurring user error in accounting codes, authored comprehensive visual guide and cohort training that permanently cut tier-2 ticket volume by 25%.</w:t>
      </w:r>
    </w:p>
    <w:p>
      <w:pPr>
        <w:spacing w:before="0" w:after="40" w:line="240" w:lineRule="auto"/>
      </w:pPr>
      <w:r>
        <w:rPr>
          <w:b/>
          <w:color w:val="17365D"/>
          <w:sz w:val="18"/>
        </w:rPr>
        <w:t xml:space="preserve">• Story 5: Data Privacy &amp; Safe Data Ingestion: </w:t>
      </w:r>
      <w:r>
        <w:rPr>
          <w:color w:val="1F1F1F"/>
          <w:sz w:val="18"/>
        </w:rPr>
        <w:t xml:space="preserve">Enforced strict PII masking and access controls during 12-bureau database migration, ensuring sensitive data fields were safeguarded in full compliance with federal privacy mandates.</w:t>
      </w:r>
    </w:p>
    <w:p>
      <w:pPr>
        <w:spacing w:before="100" w:after="40" w:line="240" w:lineRule="auto"/>
        <w:pBdr>
          <w:bottom w:val="single" w:sz="6" w:space="4" w:color="17365D"/>
        </w:pBdr>
      </w:pPr>
      <w:r>
        <w:rPr>
          <w:b/>
          <w:color w:val="17365D"/>
          <w:sz w:val="20"/>
        </w:rPr>
        <w:t xml:space="preserve">7. DEEP TECHNICAL &amp; BEHAVIORAL QUESTION BANK</w:t>
      </w:r>
    </w:p>
    <w:p>
      <w:pPr>
        <w:spacing w:before="0" w:after="40" w:line="240" w:lineRule="auto"/>
      </w:pPr>
      <w:r>
        <w:rPr>
          <w:b/>
          <w:color w:val="17365D"/>
          <w:sz w:val="18"/>
        </w:rPr>
        <w:t xml:space="preserve">• Q: A client reports their automated file ingestion to LiveRamp failed with a generic error. How do you troubleshoot? </w:t>
      </w:r>
      <w:r>
        <w:rPr>
          <w:color w:val="1F1F1F"/>
          <w:sz w:val="18"/>
        </w:rPr>
        <w:t xml:space="preserve">A: Check file ingestion logs for timestamp and error code; verify file formatting (delimiter, encoding, header columns); check file size and transfer status (SFTP/S3/GCS); query ingestion audit tables; run sample record validation.</w:t>
      </w:r>
    </w:p>
    <w:p>
      <w:pPr>
        <w:spacing w:before="0" w:after="40" w:line="240" w:lineRule="auto"/>
      </w:pPr>
      <w:r>
        <w:rPr>
          <w:b/>
          <w:color w:val="17365D"/>
          <w:sz w:val="18"/>
        </w:rPr>
        <w:t xml:space="preserve">• Q: How do you handle a scenario where you cannot find a documented runbook for an error? </w:t>
      </w:r>
      <w:r>
        <w:rPr>
          <w:color w:val="1F1F1F"/>
          <w:sz w:val="18"/>
        </w:rPr>
        <w:t xml:space="preserve">A: Reproduce the error; trace stack logs and query database tables; formulate hypotheses; test isolated parameters; document findings; consult internal peers if necessary; and write the runbook for the team after resolution.</w:t>
      </w:r>
    </w:p>
    <w:p>
      <w:pPr>
        <w:spacing w:before="0" w:after="40" w:line="240" w:lineRule="auto"/>
      </w:pPr>
      <w:r>
        <w:rPr>
          <w:b/>
          <w:color w:val="17365D"/>
          <w:sz w:val="18"/>
        </w:rPr>
        <w:t xml:space="preserve">• Q: What SQL query would you write to find duplicate customer records in an ingestion table? </w:t>
      </w:r>
      <w:r>
        <w:rPr>
          <w:color w:val="1F1F1F"/>
          <w:sz w:val="18"/>
        </w:rPr>
        <w:t xml:space="preserve">A: SELECT customer_id, COUNT(*) FROM ingestion_table GROUP BY customer_id HAVING COUNT(*) &gt; 1 ORDER BY COUNT(*) DESC;</w:t>
      </w:r>
    </w:p>
    <w:p>
      <w:pPr>
        <w:spacing w:before="0" w:after="40" w:line="240" w:lineRule="auto"/>
      </w:pPr>
      <w:r>
        <w:rPr>
          <w:b/>
          <w:color w:val="17365D"/>
          <w:sz w:val="18"/>
        </w:rPr>
        <w:t xml:space="preserve">• Q: An enterprise client is furious on a video call about an urgent match rate drop. How do you respond? </w:t>
      </w:r>
      <w:r>
        <w:rPr>
          <w:color w:val="1F1F1F"/>
          <w:sz w:val="18"/>
        </w:rPr>
        <w:t xml:space="preserve">A: Listen actively without interrupting; validate their concern and state your personal ownership; explain the diagnostic steps you are taking in plain English; keep them updated with regular time-stamped checkpoints.</w:t>
      </w:r>
    </w:p>
    <w:p>
      <w:pPr>
        <w:spacing w:before="100" w:after="40" w:line="240" w:lineRule="auto"/>
        <w:pBdr>
          <w:bottom w:val="single" w:sz="6" w:space="4" w:color="17365D"/>
        </w:pBdr>
      </w:pPr>
      <w:r>
        <w:rPr>
          <w:b/>
          <w:color w:val="17365D"/>
          <w:sz w:val="20"/>
        </w:rPr>
        <w:t xml:space="preserve">8. REVERSE QUESTIONS FOR THE INTERVIEWERS</w:t>
      </w:r>
    </w:p>
    <w:p>
      <w:pPr>
        <w:spacing w:before="0" w:after="40" w:line="240" w:lineRule="auto"/>
      </w:pPr>
      <w:r>
        <w:rPr>
          <w:b/>
          <w:color w:val="17365D"/>
          <w:sz w:val="18"/>
        </w:rPr>
        <w:t xml:space="preserve">• For Support Lead: </w:t>
      </w:r>
      <w:r>
        <w:rPr>
          <w:color w:val="1F1F1F"/>
          <w:sz w:val="18"/>
        </w:rPr>
        <w:t xml:space="preserve">"What does the daily workflow and queue rotation look like between LiveRamp's Little Rock and San Francisco support teams?"</w:t>
      </w:r>
    </w:p>
    <w:p>
      <w:pPr>
        <w:spacing w:before="0" w:after="40" w:line="240" w:lineRule="auto"/>
      </w:pPr>
      <w:r>
        <w:rPr>
          <w:b/>
          <w:color w:val="17365D"/>
          <w:sz w:val="18"/>
        </w:rPr>
        <w:t xml:space="preserve">• For Hiring Manager: </w:t>
      </w:r>
      <w:r>
        <w:rPr>
          <w:color w:val="1F1F1F"/>
          <w:sz w:val="18"/>
        </w:rPr>
        <w:t xml:space="preserve">"With the rapid expansion of clean rooms and AI collaboration, what are the most common technical ticket escalations TSEs are seeing today?"</w:t>
      </w:r>
    </w:p>
    <w:p>
      <w:pPr>
        <w:spacing w:before="0" w:after="40" w:line="240" w:lineRule="auto"/>
      </w:pPr>
      <w:r>
        <w:rPr>
          <w:b/>
          <w:color w:val="17365D"/>
          <w:sz w:val="18"/>
        </w:rPr>
        <w:t xml:space="preserve">• For Peer Support Engineer: </w:t>
      </w:r>
      <w:r>
        <w:rPr>
          <w:color w:val="1F1F1F"/>
          <w:sz w:val="18"/>
        </w:rPr>
        <w:t xml:space="preserve">"What internal diagnostic tools or database access do TSEs rely on most when runbooks run out?"</w:t>
      </w:r>
    </w:p>
    <w:p>
      <w:pPr>
        <w:spacing w:before="100" w:after="40" w:line="240" w:lineRule="auto"/>
        <w:pBdr>
          <w:bottom w:val="single" w:sz="6" w:space="4" w:color="17365D"/>
        </w:pBdr>
      </w:pPr>
      <w:r>
        <w:rPr>
          <w:b/>
          <w:color w:val="17365D"/>
          <w:sz w:val="20"/>
        </w:rPr>
        <w:t xml:space="preserve">9. DAY 30-60-90 ONBOARDING &amp; IMPACT PLAN</w:t>
      </w:r>
    </w:p>
    <w:p>
      <w:pPr>
        <w:spacing w:before="0" w:after="40" w:line="240" w:lineRule="auto"/>
      </w:pPr>
      <w:r>
        <w:rPr>
          <w:b/>
          <w:color w:val="17365D"/>
          <w:sz w:val="18"/>
        </w:rPr>
        <w:t xml:space="preserve">• Days 1–30 (Absorb &amp; Shadow): </w:t>
      </w:r>
      <w:r>
        <w:rPr>
          <w:color w:val="1F1F1F"/>
          <w:sz w:val="18"/>
        </w:rPr>
        <w:t xml:space="preserve">Master LiveRamp product architecture (Connect, RampID, ATS); shadow senior TSEs on queue triage; complete internal certification on troubleshooting tooling.</w:t>
      </w:r>
    </w:p>
    <w:p>
      <w:pPr>
        <w:spacing w:before="0" w:after="40" w:line="240" w:lineRule="auto"/>
      </w:pPr>
      <w:r>
        <w:rPr>
          <w:b/>
          <w:color w:val="17365D"/>
          <w:sz w:val="18"/>
        </w:rPr>
        <w:t xml:space="preserve">• Days 31–60 (Independent Queue Triage): </w:t>
      </w:r>
      <w:r>
        <w:rPr>
          <w:color w:val="1F1F1F"/>
          <w:sz w:val="18"/>
        </w:rPr>
        <w:t xml:space="preserve">Take full ownership of ticket queue rotations; conduct live video customer troubleshooting; achieve 95%+ CSAT and meet all response SLAs.</w:t>
      </w:r>
    </w:p>
    <w:p>
      <w:pPr>
        <w:spacing w:before="0" w:after="40" w:line="240" w:lineRule="auto"/>
      </w:pPr>
      <w:r>
        <w:rPr>
          <w:b/>
          <w:color w:val="17365D"/>
          <w:sz w:val="18"/>
        </w:rPr>
        <w:t xml:space="preserve">• Days 61–90 (Process &amp; Knowledge Leadership): </w:t>
      </w:r>
      <w:r>
        <w:rPr>
          <w:color w:val="1F1F1F"/>
          <w:sz w:val="18"/>
        </w:rPr>
        <w:t xml:space="preserve">Author 3-5 high-impact knowledge base articles/runbooks for recurring edge-case errors; partner with product/engineering on bug root-causes.</w:t>
      </w:r>
    </w:p>
    <w:p>
      <w:pPr>
        <w:spacing w:before="100" w:after="40" w:line="240" w:lineRule="auto"/>
        <w:pBdr>
          <w:bottom w:val="single" w:sz="6" w:space="4" w:color="17365D"/>
        </w:pBdr>
      </w:pPr>
      <w:r>
        <w:rPr>
          <w:b/>
          <w:color w:val="17365D"/>
          <w:sz w:val="20"/>
        </w:rPr>
        <w:t xml:space="preserve">10. SALARY &amp; LOGISTICS ALIGNMENT STRATEGY</w:t>
      </w:r>
    </w:p>
    <w:p>
      <w:pPr>
        <w:spacing w:before="0" w:after="40" w:line="240" w:lineRule="auto"/>
      </w:pPr>
      <w:r>
        <w:rPr>
          <w:b/>
          <w:color w:val="17365D"/>
          <w:sz w:val="18"/>
        </w:rPr>
        <w:t xml:space="preserve">• Salary Target: </w:t>
      </w:r>
      <w:r>
        <w:rPr>
          <w:color w:val="1F1F1F"/>
          <w:sz w:val="18"/>
        </w:rPr>
        <w:t xml:space="preserve">Stated range of $75,000–$109,000 is fully acceptable; candidate is flexible within this band.</w:t>
      </w:r>
    </w:p>
    <w:p>
      <w:pPr>
        <w:spacing w:before="0" w:after="40" w:line="240" w:lineRule="auto"/>
      </w:pPr>
      <w:r>
        <w:rPr>
          <w:b/>
          <w:color w:val="17365D"/>
          <w:sz w:val="18"/>
        </w:rPr>
        <w:t xml:space="preserve">• Location: </w:t>
      </w:r>
      <w:r>
        <w:rPr>
          <w:color w:val="1F1F1F"/>
          <w:sz w:val="18"/>
        </w:rPr>
        <w:t xml:space="preserve">Little Rock, AR hybrid (2 days/week in-office) or San Francisco/Denver hybrid.</w:t>
      </w:r>
    </w:p>
    <w:p>
      <w:pPr>
        <w:spacing w:before="100" w:after="40" w:line="240" w:lineRule="auto"/>
        <w:pBdr>
          <w:bottom w:val="single" w:sz="6" w:space="4" w:color="17365D"/>
        </w:pBdr>
      </w:pPr>
      <w:r>
        <w:rPr>
          <w:b/>
          <w:color w:val="17365D"/>
          <w:sz w:val="20"/>
        </w:rPr>
        <w:t xml:space="preserve">11. COMPANY RESEARCH &amp; CULTURE BRIEF</w:t>
      </w:r>
    </w:p>
    <w:p>
      <w:pPr>
        <w:spacing w:before="0" w:after="40" w:line="240" w:lineRule="auto"/>
      </w:pPr>
      <w:r>
        <w:rPr>
          <w:b/>
          <w:color w:val="17365D"/>
          <w:sz w:val="18"/>
        </w:rPr>
        <w:t xml:space="preserve">• Culture: </w:t>
      </w:r>
      <w:r>
        <w:rPr>
          <w:color w:val="1F1F1F"/>
          <w:sz w:val="18"/>
        </w:rPr>
        <w:t xml:space="preserve">LiveRamp values committing to shared goals, operational excellence, high belonging, and a Type S startup mindset (smart, ethical, proactive).</w:t>
      </w:r>
    </w:p>
    <w:p>
      <w:pPr>
        <w:spacing w:before="100" w:after="40" w:line="240" w:lineRule="auto"/>
        <w:pBdr>
          <w:bottom w:val="single" w:sz="6" w:space="4" w:color="17365D"/>
        </w:pBdr>
      </w:pPr>
      <w:r>
        <w:rPr>
          <w:b/>
          <w:color w:val="17365D"/>
          <w:sz w:val="20"/>
        </w:rPr>
        <w:t xml:space="preserve">12. CURATED READING LIST &amp; LIVE LINKS</w:t>
      </w:r>
    </w:p>
    <w:p>
      <w:pPr>
        <w:spacing w:before="0" w:after="40" w:line="240" w:lineRule="auto"/>
      </w:pPr>
      <w:hyperlink r:id="rIdHyperlink1">
        <w:r>
          <w:rPr>
            <w:b/>
            <w:color w:val="17365D"/>
            <w:sz w:val="20"/>
            <w:u w:val="single"/>
          </w:rPr>
          <w:t xml:space="preserve">• LiveRamp Documentation Portal: </w:t>
        </w:r>
      </w:hyperlink>
      <w:r>
        <w:rPr>
          <w:color w:val="1F1F1F"/>
          <w:sz w:val="18"/>
        </w:rPr>
        <w:t xml:space="preserve"> — Review file formatting, API endpoints, RampID guides.</w:t>
      </w:r>
    </w:p>
    <w:p>
      <w:pPr>
        <w:spacing w:before="0" w:after="40" w:line="240" w:lineRule="auto"/>
      </w:pPr>
      <w:hyperlink r:id="rIdHyperlink2">
        <w:r>
          <w:rPr>
            <w:b/>
            <w:color w:val="17365D"/>
            <w:sz w:val="20"/>
            <w:u w:val="single"/>
          </w:rPr>
          <w:t xml:space="preserve">• LiveRamp RampID Overview: </w:t>
        </w:r>
      </w:hyperlink>
      <w:r>
        <w:rPr>
          <w:color w:val="1F1F1F"/>
          <w:sz w:val="18"/>
        </w:rPr>
        <w:t xml:space="preserve"> — Identity resolution architecture.</w:t>
      </w:r>
    </w:p>
    <w:p>
      <w:pPr>
        <w:spacing w:before="0" w:after="40" w:line="240" w:lineRule="auto"/>
      </w:pPr>
      <w:hyperlink r:id="rIdHyperlink3">
        <w:r>
          <w:rPr>
            <w:b/>
            <w:color w:val="17365D"/>
            <w:sz w:val="20"/>
            <w:u w:val="single"/>
          </w:rPr>
          <w:t xml:space="preserve">• LiveRamp Careers &amp; Culture: </w:t>
        </w:r>
      </w:hyperlink>
      <w:r>
        <w:rPr>
          <w:color w:val="1F1F1F"/>
          <w:sz w:val="18"/>
        </w:rPr>
        <w:t xml:space="preserve"> — Diversity, Inclusion, &amp; Belonging (DIB).</w:t>
      </w:r>
    </w:p>
    <w:p>
      <w:pPr>
        <w:spacing w:before="100" w:after="40" w:line="240" w:lineRule="auto"/>
        <w:pBdr>
          <w:bottom w:val="single" w:sz="6" w:space="4" w:color="17365D"/>
        </w:pBdr>
      </w:pPr>
      <w:r>
        <w:rPr>
          <w:b/>
          <w:color w:val="17365D"/>
          <w:sz w:val="20"/>
        </w:rPr>
        <w:t xml:space="preserve">13. APPLICATION &amp; INTERVIEW CHECKLIST</w:t>
      </w:r>
    </w:p>
    <w:p>
      <w:pPr>
        <w:spacing w:before="0" w:after="40" w:line="240" w:lineRule="auto"/>
      </w:pPr>
      <w:r>
        <w:rPr>
          <w:b/>
          <w:color w:val="008000"/>
          <w:sz w:val="18"/>
        </w:rPr>
        <w:t xml:space="preserve">• Completed Deliverables: </w:t>
      </w:r>
      <w:r>
        <w:rPr>
          <w:color w:val="1F1F1F"/>
          <w:sz w:val="18"/>
        </w:rPr>
        <w:t xml:space="preserve">Resume, Cover Letter, Skill Gap Analysis, and Interview Prep Package generated in both .docx and .md.</w:t>
      </w:r>
    </w:p>
    <w:p>
      <w:pPr>
        <w:spacing w:before="0" w:after="40" w:line="240" w:lineRule="auto"/>
      </w:pPr>
      <w:r>
        <w:rPr>
          <w:b/>
          <w:color w:val="008000"/>
          <w:sz w:val="18"/>
        </w:rPr>
        <w:t xml:space="preserve">• Readiness Verification: </w:t>
      </w:r>
      <w:r>
        <w:rPr>
          <w:color w:val="1F1F1F"/>
          <w:sz w:val="18"/>
        </w:rPr>
        <w:t xml:space="preserve">Full alignment on Little Rock hybrid, salary range, SQL diagnostics, and Acxiom lineage narrative.</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docs.liveramp.com" TargetMode="External"/>
  <Relationship Id="rIdHyperlink2" Type="http://schemas.openxmlformats.org/officeDocument/2006/relationships/hyperlink" Target="https://liveramp.com/our-platform/identity/rampid/" TargetMode="External"/>
  <Relationship Id="rIdHyperlink3" Type="http://schemas.openxmlformats.org/officeDocument/2006/relationships/hyperlink" Target="https://liveramp.com/careers" TargetMode="External"/>
</Relationships>
</file>