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AI AUTOMATION WORKFLOW SPECIALIST | HEALTHCARE AI AGENTS &amp; WORKFLOW ENABLEMENT</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Chief Technology Officer &amp; AI Talent Acquisition Team</w:t>
      </w:r>
    </w:p>
    <w:p>
      <w:pPr>
        <w:spacing w:before="0" w:after="20" w:line="240" w:lineRule="auto"/>
      </w:pPr>
      <w:r>
        <w:rPr>
          <w:color w:val="1F1F1F"/>
          <w:sz w:val="19"/>
        </w:rPr>
        <w:t xml:space="preserve">Matter Health (matter.health)</w:t>
      </w:r>
    </w:p>
    <w:p>
      <w:pPr>
        <w:spacing w:before="0" w:after="100" w:line="240" w:lineRule="auto"/>
      </w:pPr>
      <w:r>
        <w:rPr>
          <w:color w:val="1F1F1F"/>
          <w:sz w:val="19"/>
        </w:rPr>
        <w:t xml:space="preserve">Remote (United States)</w:t>
      </w:r>
    </w:p>
    <w:p>
      <w:pPr>
        <w:spacing w:before="0" w:after="120" w:line="240" w:lineRule="auto"/>
      </w:pPr>
      <w:r>
        <w:rPr>
          <w:rFonts w:ascii="Cambria" w:hAnsi="Cambria"/>
          <w:b/>
          <w:color w:val="17365D"/>
          <w:sz w:val="20"/>
        </w:rPr>
        <w:t xml:space="preserve">RE: Application for AI Automation Workflow Specialist (Req: Ashby / 33ae397f)</w:t>
      </w:r>
    </w:p>
    <w:p>
      <w:pPr>
        <w:spacing w:before="0" w:after="100" w:line="240" w:lineRule="auto"/>
      </w:pPr>
      <w:r>
        <w:rPr>
          <w:color w:val="1F1F1F"/>
          <w:sz w:val="19"/>
        </w:rPr>
        <w:t xml:space="preserve">Dear Chief Technology Officer &amp; Hiring Team,</w:t>
      </w:r>
    </w:p>
    <w:p>
      <w:pPr>
        <w:spacing w:before="0" w:after="100" w:line="240" w:lineRule="auto"/>
      </w:pPr>
      <w:r>
        <w:rPr>
          <w:color w:val="1F1F1F"/>
          <w:sz w:val="19"/>
        </w:rPr>
        <w:t xml:space="preserve">I am writing to express my strong enthusiasm for the AI Automation Workflow Specialist role at Matter Health. Having followed Matter Health’s transformative mission to deliver high-touch primary care to older adults in their communities, I am deeply inspired by your core commitment to 'Lead with Love' and empower care teams through thoughtful technology. With a hands-on background building generative AI workflows and agentic pipelines, executive credentials in Large Language Models from Harvard SEAS and AI Strategy from the University of Denver, and published research on AI Ethics in Healthcare, I offer the technical capability and empathetic operational focus needed to accelerate your clinical and operational automations.</w:t>
      </w:r>
    </w:p>
    <w:p>
      <w:pPr>
        <w:spacing w:before="0" w:after="100" w:line="240" w:lineRule="auto"/>
      </w:pPr>
      <w:r>
        <w:rPr>
          <w:color w:val="1F1F1F"/>
          <w:sz w:val="19"/>
        </w:rPr>
        <w:t xml:space="preserve">Over the past several years, I have focused intensively on applied generative AI and automation architectures. On my portfolio portal (AI Guardians), I developed an 11-tool modular toolkit showcasing practical LLM workflows, automated document extraction, and prompt evaluation pipelines using LangGraph, Gumloop, and Python. I understand that effective AI workflows in healthcare require more than raw model outputs; they demand carefully engineered system prompts, few-shot templates, structured JSON schema validations, and deterministic fallback logic so that clinical coordinators and care teams receive accurate, actionable information every time.</w:t>
      </w:r>
    </w:p>
    <w:p>
      <w:pPr>
        <w:spacing w:before="0" w:after="100" w:line="240" w:lineRule="auto"/>
      </w:pPr>
      <w:r>
        <w:rPr>
          <w:color w:val="1F1F1F"/>
          <w:sz w:val="19"/>
        </w:rPr>
        <w:t xml:space="preserve">Crucially, I bring a proactive, safety-first mindset to healthcare AI. I authored a published research paper on 'AI Ethics in Healthcare' and formulated an exhaustive 6-dimension compliance and risk assessment framework for pre-deployment ChatGPT Health evaluation—specifically addressing HIPAA data protection, PHI de-identification boundaries, hallucination mitigation, and clinician oversight guardrails. This governance depth ensures that every automation pipeline I build for Matter Health strictly protects patient confidentiality while dramatically reducing administrative burden for your field teams.</w:t>
      </w:r>
    </w:p>
    <w:p>
      <w:pPr>
        <w:spacing w:before="0" w:after="100" w:line="240" w:lineRule="auto"/>
      </w:pPr>
      <w:r>
        <w:rPr>
          <w:color w:val="1F1F1F"/>
          <w:sz w:val="19"/>
        </w:rPr>
        <w:t xml:space="preserve">Throughout my career—including 14 years leading systems transformation and training 85+ active users on mission-critical workflows—I have championed the human side of technology adoption. I partner directly with end users to map daily pain points, author intuitive SOPs and video guides, and iterate rapidly based on user feedback. Working remotely with high autonomy and reporting directly to your CTO, I am ready to dive into Matter Health’s clinical and operational workflows, build reliable automations, and help your team deliver loving, life-changing care. Thank you for your consideration, and I look forward to speaking with you.</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