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0" w:after="20" w:line="240" w:lineRule="auto"/>
      </w:pPr>
      <w:r>
        <w:rPr>
          <w:rFonts w:ascii="Cambria" w:hAnsi="Cambria"/>
          <w:b/>
          <w:color w:val="17365D"/>
          <w:sz w:val="26"/>
        </w:rPr>
        <w:t xml:space="preserve">Interview Preparation &amp; Strategy Guide: Sr. AI Governance &amp; Risk Analyst II</w:t>
      </w:r>
    </w:p>
    <w:p>
      <w:pPr>
        <w:jc w:val="center"/>
        <w:spacing w:before="0" w:after="20" w:line="240" w:lineRule="auto"/>
      </w:pPr>
      <w:r>
        <w:rPr>
          <w:rFonts w:ascii="Cambria" w:hAnsi="Cambria"/>
          <w:b/>
          <w:color w:val="5B9BD5"/>
          <w:sz w:val="20"/>
        </w:rPr>
        <w:t xml:space="preserve">Principal Financial Group • Target Candidate: Ebenezer J. Rolston</w:t>
      </w:r>
    </w:p>
    <w:p>
      <w:pPr>
        <w:jc w:val="center"/>
        <w:spacing w:before="0" w:after="80" w:line="240" w:lineRule="auto"/>
        <w:pBdr>
          <w:bottom w:val="single" w:sz="6" w:space="4" w:color="17365D"/>
        </w:pBdr>
      </w:pPr>
      <w:r>
        <w:rPr>
          <w:color w:val="4F4F4F"/>
          <w:sz w:val="18"/>
        </w:rPr>
        <w:t xml:space="preserve">Comprehensive STAR Defense Points &amp; Value Proposition</w:t>
      </w:r>
    </w:p>
    <w:p>
      <w:pPr>
        <w:spacing w:before="100" w:after="40" w:line="240" w:lineRule="auto"/>
        <w:pBdr>
          <w:bottom w:val="single" w:sz="6" w:space="4" w:color="17365D"/>
        </w:pBdr>
      </w:pPr>
      <w:r>
        <w:rPr>
          <w:rFonts w:ascii="Cambria" w:hAnsi="Cambria"/>
          <w:b/>
          <w:color w:val="17365D"/>
          <w:sz w:val="20"/>
        </w:rPr>
        <w:t xml:space="preserve">1. KEY TALKING POINTS</w:t>
      </w:r>
    </w:p>
    <w:p>
      <w:pPr>
        <w:spacing w:before="0" w:after="30" w:line="240" w:lineRule="auto"/>
      </w:pPr>
      <w:r>
        <w:rPr>
          <w:b/>
          <w:color w:val="17365D"/>
          <w:sz w:val="19"/>
        </w:rPr>
        <w:t xml:space="preserve">• Core Pillar 1: Enterprise Systems Delivery</w:t>
      </w:r>
    </w:p>
    <w:p>
      <w:pPr>
        <w:spacing w:before="0" w:after="20" w:line="240" w:lineRule="auto"/>
      </w:pPr>
      <w:r>
        <w:rPr>
          <w:color w:val="1F1F1F"/>
          <w:sz w:val="18"/>
        </w:rPr>
        <w:t xml:space="preserve">Highlight 14 years supporting DOI acquisition platforms and 12-database FBMS data conversion honored with 2 Interior Department awards.</w:t>
      </w:r>
    </w:p>
    <w:p>
      <w:pPr>
        <w:spacing w:before="0" w:after="30" w:line="240" w:lineRule="auto"/>
      </w:pPr>
      <w:r>
        <w:rPr>
          <w:b/>
          <w:color w:val="17365D"/>
          <w:sz w:val="19"/>
        </w:rPr>
        <w:t xml:space="preserve">• Core Pillar 2: Financial Accuracy &amp; Cost Recovery</w:t>
      </w:r>
    </w:p>
    <w:p>
      <w:pPr>
        <w:spacing w:before="0" w:after="20" w:line="240" w:lineRule="auto"/>
      </w:pPr>
      <w:r>
        <w:rPr>
          <w:color w:val="1F1F1F"/>
          <w:sz w:val="18"/>
        </w:rPr>
        <w:t xml:space="preserve">Reclaimed $1M+ annually in deobligated contract funds through rigorous transaction reconciliations and ledger auditing.</w:t>
      </w:r>
    </w:p>
    <w:p>
      <w:pPr>
        <w:spacing w:before="0" w:after="30" w:line="240" w:lineRule="auto"/>
      </w:pPr>
      <w:r>
        <w:rPr>
          <w:b/>
          <w:color w:val="17365D"/>
          <w:sz w:val="19"/>
        </w:rPr>
        <w:t xml:space="preserve">• Core Pillar 3: AI Strategy &amp; Modern Enablement</w:t>
      </w:r>
    </w:p>
    <w:p>
      <w:pPr>
        <w:spacing w:before="0" w:after="20" w:line="240" w:lineRule="auto"/>
      </w:pPr>
      <w:r>
        <w:rPr>
          <w:color w:val="1F1F1F"/>
          <w:sz w:val="18"/>
        </w:rPr>
        <w:t xml:space="preserve">Emphasize University of Denver Graduate Certificate in AI Strategy, responsible AI governance, and automated workflow design.</w:t>
      </w:r>
    </w:p>
    <w:sectPr>
      <w:pgSz w:w="12240" w:h="15840"/>
      <w:pgMar w:top="720" w:right="893" w:bottom="720" w:left="893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0"/>
        <w:color w:val="1F1F1F"/>
      </w:rPr>
    </w:rPrDefault>
  </w:docDefaults>
</w:styles>
</file>

<file path=word/_rels/document.xml.rels><?xml version="1.0" encoding="UTF-8" standalone="yes"?>
<Relationships xmlns="http://schemas.openxmlformats.org/package/2006/relationships">
</Relationships>
</file>