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20" w:line="240" w:lineRule="auto"/>
      </w:pPr>
      <w:r>
        <w:rPr>
          <w:rFonts w:ascii="Cambria" w:hAnsi="Cambria"/>
          <w:b/>
          <w:color w:val="17365D"/>
          <w:sz w:val="36"/>
        </w:rPr>
        <w:t xml:space="preserve">Ebenezer J. Rolston</w:t>
      </w:r>
    </w:p>
    <w:p>
      <w:pPr>
        <w:jc w:val="center"/>
        <w:spacing w:before="0" w:after="40" w:line="240" w:lineRule="auto"/>
      </w:pPr>
      <w:r>
        <w:rPr>
          <w:rFonts w:ascii="Cambria" w:hAnsi="Cambria"/>
          <w:b/>
          <w:color w:val="5B9BD5"/>
          <w:sz w:val="20"/>
        </w:rPr>
        <w:t xml:space="preserve">SR. AI GOVERNANCE &amp; RISK ANALYST II | ENTERPRISE AI POLICY &amp; FINOPS</w:t>
      </w:r>
    </w:p>
    <w:p>
      <w:pPr>
        <w:jc w:val="center"/>
        <w:spacing w:before="0" w:after="40" w:line="240" w:lineRule="auto"/>
        <w:pBdr>
          <w:bottom w:val="single" w:sz="6" w:space="4" w:color="17365D"/>
        </w:pBdr>
      </w:pPr>
      <w:r>
        <w:rPr>
          <w:rFonts w:ascii="Cambria" w:hAnsi="Cambria"/>
          <w:color w:val="1F1F1F"/>
          <w:sz w:val="18"/>
        </w:rPr>
        <w:t xml:space="preserve">Denver, CO • </w:t>
      </w:r>
      <w:r>
        <w:rPr>
          <w:rFonts w:ascii="Cambria" w:hAnsi="Cambria"/>
          <w:color w:val="1F1F1F"/>
          <w:sz w:val="18"/>
        </w:rPr>
        <w:t xml:space="preserve">501-307-3237</w:t>
      </w:r>
      <w:r>
        <w:rPr>
          <w:rFonts w:ascii="Cambria" w:hAnsi="Cambria"/>
          <w:color w:val="1F1F1F"/>
          <w:sz w:val="18"/>
        </w:rPr>
        <w:t xml:space="preserve"> • </w:t>
      </w:r>
      <w:r>
        <w:rPr>
          <w:rFonts w:ascii="Cambria" w:hAnsi="Cambria"/>
          <w:color w:val="1F1F1F"/>
          <w:sz w:val="18"/>
        </w:rPr>
        <w:t xml:space="preserve">eberolston@yahoo.com</w:t>
      </w:r>
      <w:r>
        <w:rPr>
          <w:rFonts w:ascii="Cambria" w:hAnsi="Cambria"/>
          <w:color w:val="1F1F1F"/>
          <w:sz w:val="18"/>
        </w:rPr>
        <w:t xml:space="preserve"> • </w:t>
      </w:r>
      <w:hyperlink r:id="rIdHyperlink1">
        <w:r>
          <w:rPr>
            <w:rFonts w:ascii="Cambria" w:hAnsi="Cambria"/>
            <w:b/>
            <w:color w:val="17365D"/>
            <w:sz w:val="18"/>
            <w:u w:val="single"/>
          </w:rPr>
          <w:t xml:space="preserve">LinkedIn</w:t>
        </w:r>
      </w:hyperlink>
      <w:r>
        <w:rPr>
          <w:rFonts w:ascii="Cambria" w:hAnsi="Cambria"/>
          <w:color w:val="1F1F1F"/>
          <w:sz w:val="18"/>
        </w:rPr>
        <w:t xml:space="preserve"> • </w:t>
      </w:r>
      <w:hyperlink r:id="rIdHyperlink2">
        <w:r>
          <w:rPr>
            <w:rFonts w:ascii="Cambria" w:hAnsi="Cambria"/>
            <w:b/>
            <w:color w:val="17365D"/>
            <w:sz w:val="18"/>
            <w:u w:val="single"/>
          </w:rPr>
          <w:t xml:space="preserve">AI Guardians Portal</w:t>
        </w:r>
      </w:hyperlink>
    </w:p>
    <w:p>
      <w:pPr>
        <w:jc w:val="center"/>
        <w:spacing w:before="0" w:after="100" w:line="240" w:lineRule="auto"/>
      </w:pPr>
      <w:r>
        <w:rPr>
          <w:rFonts w:ascii="Times New Roman" w:hAnsi="Times New Roman"/>
          <w:color w:val="4F4F4F"/>
          <w:sz w:val="17"/>
        </w:rPr>
        <w:t xml:space="preserve">U.S. Citizen • Public Trust Clearance Eligible (Previously Held) • Denver Metro Area (Hybrid / Remote)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2"/>
        </w:rPr>
        <w:t xml:space="preserve">PROFESSIONAL SUMMARY</w:t>
      </w:r>
    </w:p>
    <w:p>
      <w:pPr>
        <w:spacing w:before="0" w:after="60" w:line="240" w:lineRule="auto"/>
      </w:pPr>
      <w:r>
        <w:rPr>
          <w:color w:val="1F1F1F"/>
          <w:sz w:val="19"/>
        </w:rPr>
        <w:t xml:space="preserve">Accomplished Sr. AI Governance &amp; Risk Analyst II with 20+ years translating complex operational requirements into scalable data, reporting, and workflow transformation solutions. Proven track record optimizing business systems, architecting enterprise data conversions, and reconciling multi-million dollar ledgers. Combines deep SQL, ERP systems, and acquisition operations expertise with a University of Denver Graduate Certificate in AI Strategy to design modern process improvements, evaluate emerging technologies, and deliver high-adoption user enablement.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2"/>
        </w:rPr>
        <w:t xml:space="preserve">CORE COMPETENCIES</w:t>
      </w:r>
    </w:p>
    <w:p>
      <w:pPr>
        <w:spacing w:before="0" w:after="30" w:line="240" w:lineRule="auto"/>
      </w:pPr>
      <w:r>
        <w:rPr>
          <w:b/>
          <w:color w:val="17365D"/>
          <w:sz w:val="18"/>
        </w:rPr>
        <w:t xml:space="preserve">Business Analysis &amp; Systems Optimization: </w:t>
      </w:r>
      <w:r>
        <w:rPr>
          <w:color w:val="1F1F1F"/>
          <w:sz w:val="18"/>
        </w:rPr>
        <w:t xml:space="preserve">Requirements Elicitation • Process Mapping • Functional Specifications • SDLC Delivery • Stakeholder Enablement</w:t>
      </w:r>
    </w:p>
    <w:p>
      <w:pPr>
        <w:spacing w:before="0" w:after="30" w:line="240" w:lineRule="auto"/>
      </w:pPr>
      <w:r>
        <w:rPr>
          <w:b/>
          <w:color w:val="17365D"/>
          <w:sz w:val="18"/>
        </w:rPr>
        <w:t xml:space="preserve">Data Architecture &amp; Reporting: </w:t>
      </w:r>
      <w:r>
        <w:rPr>
          <w:color w:val="1F1F1F"/>
          <w:sz w:val="18"/>
        </w:rPr>
        <w:t xml:space="preserve">Relational Data Modeling • SQL / PL*SQL • Power BI / Tableau Dashboards • Financial Reconciliations • Data Migration</w:t>
      </w:r>
    </w:p>
    <w:p>
      <w:pPr>
        <w:spacing w:before="0" w:after="60" w:line="240" w:lineRule="auto"/>
      </w:pPr>
      <w:r>
        <w:rPr>
          <w:b/>
          <w:color w:val="17365D"/>
          <w:sz w:val="18"/>
        </w:rPr>
        <w:t xml:space="preserve">AI Strategy &amp; Emerging Tech: </w:t>
      </w:r>
      <w:r>
        <w:rPr>
          <w:color w:val="1F1F1F"/>
          <w:sz w:val="18"/>
        </w:rPr>
        <w:t xml:space="preserve">AI Maturity Assessment • NIST AI RMF Governance • ROI Modeling • Prompt Engineering • Workflow Automation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2"/>
        </w:rPr>
        <w:t xml:space="preserve">PROFESSIONAL EXPERIENCE</w:t>
      </w:r>
    </w:p>
    <w:p>
      <w:pPr>
        <w:spacing w:before="40" w:after="15" w:line="240" w:lineRule="auto"/>
        <w:shd w:val="clear" w:color="auto" w:fill="EBF1F5"/>
      </w:pPr>
      <w:r>
        <w:rPr>
          <w:rFonts w:ascii="Cambria" w:hAnsi="Cambria"/>
          <w:b/>
          <w:color w:val="17365D"/>
          <w:sz w:val="18"/>
        </w:rPr>
        <w:t xml:space="preserve">AI Transformation Consultant &amp; Solutions Developer</w:t>
      </w:r>
      <w:r>
        <w:rPr>
          <w:rFonts w:ascii="Cambria" w:hAnsi="Cambria"/>
          <w:b/>
          <w:color w:val="5B9BD5"/>
          <w:sz w:val="18"/>
        </w:rPr>
        <w:t xml:space="preserve"> | AI Guardians LLC • Denver, CO | 01/2025 – Present</w:t>
      </w:r>
    </w:p>
    <w:p>
      <w:pPr>
        <w:spacing w:before="0" w:after="20" w:line="240" w:lineRule="auto"/>
      </w:pPr>
      <w:r>
        <w:rPr>
          <w:i/>
          <w:color w:val="4F4F4F"/>
          <w:sz w:val="17"/>
        </w:rPr>
        <w:t xml:space="preserve">AI strategy advisory, workflow automation prototypes, and enterprise adoption frameworks; 40 Hours/Week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Architected the AI Guardians enablement portal, developing an 11-tool modular toolkit showcasing LLM evaluation, prompt engineering, RAG pipelines, and automated document analysis tools.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Authored comprehensive 3-year enterprise AI transformation roadmap for Mile High Logistics, evaluating organizational AI readiness, prioritizing high-ROI use cases, and structuring cost-benefit models.</w:t>
      </w:r>
    </w:p>
    <w:p>
      <w:pPr>
        <w:spacing w:before="0" w:after="50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Developed multi-dimensional risk and compliance framework for ChatGPT Health adoption, assessing HIPAA data privacy, ethical boundaries, algorithmic bias mitigation, and governance guardrails.</w:t>
      </w:r>
    </w:p>
    <w:p>
      <w:pPr>
        <w:spacing w:before="50" w:after="15" w:line="240" w:lineRule="auto"/>
        <w:shd w:val="clear" w:color="auto" w:fill="EBF1F5"/>
      </w:pPr>
      <w:r>
        <w:rPr>
          <w:rFonts w:ascii="Cambria" w:hAnsi="Cambria"/>
          <w:b/>
          <w:color w:val="17365D"/>
          <w:sz w:val="18"/>
        </w:rPr>
        <w:t xml:space="preserve">Senior Analyst Lead &amp; Federal Systems Specialist</w:t>
      </w:r>
      <w:r>
        <w:rPr>
          <w:rFonts w:ascii="Cambria" w:hAnsi="Cambria"/>
          <w:b/>
          <w:color w:val="5B9BD5"/>
          <w:sz w:val="18"/>
        </w:rPr>
        <w:t xml:space="preserve"> | ArkSolutions (Client: DOI IBC Acquisition Directorate) • Denver, CO | 01/2011 – 01/2025</w:t>
      </w:r>
    </w:p>
    <w:p>
      <w:pPr>
        <w:spacing w:before="0" w:after="20" w:line="240" w:lineRule="auto"/>
      </w:pPr>
      <w:r>
        <w:rPr>
          <w:i/>
          <w:color w:val="4F4F4F"/>
          <w:sz w:val="17"/>
        </w:rPr>
        <w:t xml:space="preserve">14-year senior analytics, data conversion, and acquisition operations leadership; 40 Hours/Week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Served as ETL Architect for the Department-wide Financial and Business Management System (FBMS) data conversion, mapping, cleansing, and validating millions of legacy procurement and financial records across 12 bureau databases into SAP S/4 (honored with 2 Interior Department awards).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Reclaimed $1M+ in recurring annual federal funds through systematic unliquidated contract funds deobligation models, funds realignments, and multi-year transactional ledger reconciliations.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Administered Unison PRISM procurement system for 7 years, managing role-based permissions, solicitation workflows, contract modifications, FPDS-NG reporting feeds, and audit trail compliance for 85+ active users.</w:t>
      </w:r>
    </w:p>
    <w:p>
      <w:pPr>
        <w:spacing w:before="0" w:after="50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Extracted and formatted SAP reports (FBL1N vendor ledgers, ME2M purchase orders, FAGLL03 general ledger, and ZFI reports), mediated aviation vendor IPAC billing disputes, and resolved 5–10 daily mission-critical escalation tickets.</w:t>
      </w:r>
    </w:p>
    <w:p>
      <w:pPr>
        <w:spacing w:before="50" w:after="15" w:line="240" w:lineRule="auto"/>
        <w:shd w:val="clear" w:color="auto" w:fill="EBF1F5"/>
      </w:pPr>
      <w:r>
        <w:rPr>
          <w:rFonts w:ascii="Cambria" w:hAnsi="Cambria"/>
          <w:b/>
          <w:color w:val="17365D"/>
          <w:sz w:val="18"/>
        </w:rPr>
        <w:t xml:space="preserve">Solutions Developer / Solution Architect &amp; Data Analyst</w:t>
      </w:r>
      <w:r>
        <w:rPr>
          <w:rFonts w:ascii="Cambria" w:hAnsi="Cambria"/>
          <w:b/>
          <w:color w:val="5B9BD5"/>
          <w:sz w:val="18"/>
        </w:rPr>
        <w:t xml:space="preserve"> | Acxiom Corporation • Little Rock, AR &amp; Remote | 01/1999 – 12/2010</w:t>
      </w:r>
    </w:p>
    <w:p>
      <w:pPr>
        <w:spacing w:before="0" w:after="20" w:line="240" w:lineRule="auto"/>
      </w:pPr>
      <w:r>
        <w:rPr>
          <w:i/>
          <w:color w:val="4F4F4F"/>
          <w:sz w:val="17"/>
        </w:rPr>
        <w:t xml:space="preserve">High-volume predictive data analytics, statistical modeling, and relational data warehousing; 40 Hours/Week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Engineered Citibank's inaugural Online Identity Scoring Model utilizing early machine learning classification algorithms, screening real-time credit card applications to prevent millions in fraudulent losses.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Designed high-throughput relational data warehouses and multi-channel predictive scoring algorithms for Fortune 100 financial and enterprise clients (GE Money, ChoicePoint, Citibank).</w:t>
      </w:r>
    </w:p>
    <w:p>
      <w:pPr>
        <w:spacing w:before="0" w:after="50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Established enterprise data quality frameworks on the Acxiom Methodology Board and led technical teams demonstrating airline passenger-screening architectures to U.S. Congressional stakeholders.</w:t>
      </w:r>
    </w:p>
    <w:p>
      <w:pPr>
        <w:spacing w:before="80" w:after="3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EDUCATION &amp; CREDENTIALS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Graduate Certificate, AI Strategy &amp; Applications in IT</w:t>
      </w:r>
      <w:r>
        <w:rPr>
          <w:color w:val="1F1F1F"/>
          <w:sz w:val="17"/>
        </w:rPr>
        <w:t xml:space="preserve"> : University of Denver (Executive AI Roadmaps, AI Maturity, ROI Modeling)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Executive Certificate, Large Language Models: Transformer Basics to Agentic AI</w:t>
      </w:r>
      <w:r>
        <w:rPr>
          <w:color w:val="1F1F1F"/>
          <w:sz w:val="17"/>
        </w:rPr>
        <w:t xml:space="preserve"> : Harvard SEAS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Data Analysis with Python Certification</w:t>
      </w:r>
      <w:r>
        <w:rPr>
          <w:color w:val="1F1F1F"/>
          <w:sz w:val="17"/>
        </w:rPr>
        <w:t xml:space="preserve"> : Stanford Continuing Studies (Taught by Matt Harrison — Pandas, NumPy, Data Cleaning)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AI Governance &amp; Privacy Certification</w:t>
      </w:r>
      <w:r>
        <w:rPr>
          <w:color w:val="1F1F1F"/>
          <w:sz w:val="17"/>
        </w:rPr>
        <w:t xml:space="preserve"> : Dr. Luiza Jarovsky (EU AI Act Article 4, NIST AI RMF, Responsible AI Frameworks)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M.S. &amp; B.S. in Computer Science</w:t>
      </w:r>
      <w:r>
        <w:rPr>
          <w:color w:val="1F1F1F"/>
          <w:sz w:val="17"/>
        </w:rPr>
        <w:t xml:space="preserve"> : St. Joseph's College</w:t>
      </w:r>
    </w:p>
    <w:p>
      <w:pPr>
        <w:spacing w:before="0" w:after="50" w:line="240" w:lineRule="auto"/>
      </w:pPr>
      <w:r>
        <w:rPr>
          <w:b/>
          <w:color w:val="C00000"/>
          <w:sz w:val="17"/>
        </w:rPr>
        <w:t xml:space="preserve">• Honors &amp; Awards: </w:t>
      </w:r>
      <w:r>
        <w:rPr>
          <w:color w:val="1F1F1F"/>
          <w:sz w:val="17"/>
        </w:rPr>
        <w:t xml:space="preserve">Interior Business Center Award for Excellence · DOI FBMS Special Recognition Award</w:t>
      </w:r>
    </w:p>
    <w:sectPr>
      <w:pgSz w:w="12240" w:h="15840"/>
      <w:pgMar w:top="720" w:right="893" w:bottom="720" w:left="893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0"/>
        <w:color w:val="1F1F1F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Hyperlink1" Type="http://schemas.openxmlformats.org/officeDocument/2006/relationships/hyperlink" Target="https://www.linkedin.com/in/ebenezer-rolston/" TargetMode="External"/>
  <Relationship Id="rIdHyperlink2" Type="http://schemas.openxmlformats.org/officeDocument/2006/relationships/hyperlink" Target="https://portal.aiguardiansllc.us/" TargetMode="External"/>
</Relationships>
</file>