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PG01 · Structured Preserve · Merge Guard</w:t>
      </w:r>
    </w:p>
    <w:p>
      <w:r>
        <w:t xml:space="preserve">Zweck des Prüfdokuments: Dieses Dokument prüft, ob hochwertige strukturierte Sollprozessdokumente quellentreu erhalten bleiben. Insbesondere dürfen semantisch ähnliche, aber unterschiedliche Standardschritte nicht zusammengelegt werden.</w:t>
      </w:r>
    </w:p>
    <w:p>
      <w:r>
        <w:t xml:space="preserve">1. Zielbild</w:t>
      </w:r>
    </w:p>
    <w:p>
      <w:r>
        <w:t xml:space="preserve">Ein klar nummerierter Standardablauf soll unverändert als Prozessentwurf erhalten bleiben.</w:t>
      </w:r>
    </w:p>
    <w:p>
      <w:r>
        <w:t xml:space="preserve">2. Rollen und Systeme</w:t>
      </w:r>
    </w:p>
    <w:tbl>
      <w:tblPr>
        <w:tblW w:w="0" w:type="auto"/>
      </w:tblPr>
      <w:tr>
        <w:tc>
          <w:tcPr/>
          <w:p>
            <w:r>
              <w:t xml:space="preserve">Rolle</w:t>
            </w:r>
          </w:p>
        </w:tc>
        <w:tc>
          <w:tcPr/>
          <w:p>
            <w:r>
              <w:t xml:space="preserve">Aufgabe</w:t>
            </w:r>
          </w:p>
        </w:tc>
        <w:tc>
          <w:tcPr/>
          <w:p>
            <w:r>
              <w:t xml:space="preserve">Systeme</w:t>
            </w:r>
          </w:p>
        </w:tc>
      </w:tr>
      <w:tr>
        <w:tc>
          <w:tcPr/>
          <w:p>
            <w:r>
              <w:t xml:space="preserve">Sachbearbeitung</w:t>
            </w:r>
          </w:p>
        </w:tc>
        <w:tc>
          <w:tcPr/>
          <w:p>
            <w:r>
              <w:t xml:space="preserve">Fallanlage und Belegprüfung</w:t>
            </w:r>
          </w:p>
        </w:tc>
        <w:tc>
          <w:tcPr/>
          <w:p>
            <w:r>
              <w:t xml:space="preserve">ERP, DMS</w:t>
            </w:r>
          </w:p>
        </w:tc>
      </w:tr>
      <w:tr>
        <w:tc>
          <w:tcPr/>
          <w:p>
            <w:r>
              <w:t xml:space="preserve">Fachbereich</w:t>
            </w:r>
          </w:p>
        </w:tc>
        <w:tc>
          <w:tcPr/>
          <w:p>
            <w:r>
              <w:t xml:space="preserve">inhaltliche Bewertung</w:t>
            </w:r>
          </w:p>
        </w:tc>
        <w:tc>
          <w:tcPr/>
          <w:p>
            <w:r>
              <w:t xml:space="preserve">DMS, Fachtool</w:t>
            </w:r>
          </w:p>
        </w:tc>
      </w:tr>
      <w:tr>
        <w:tc>
          <w:tcPr/>
          <w:p>
            <w:r>
              <w:t xml:space="preserve">Teamleitung</w:t>
            </w:r>
          </w:p>
        </w:tc>
        <w:tc>
          <w:tcPr/>
          <w:p>
            <w:r>
              <w:t xml:space="preserve">Freigabeentscheidung</w:t>
            </w:r>
          </w:p>
        </w:tc>
        <w:tc>
          <w:tcPr/>
          <w:p>
            <w:r>
              <w:t xml:space="preserve">ERP, BI</w:t>
            </w:r>
          </w:p>
        </w:tc>
      </w:tr>
      <w:tr>
        <w:tc>
          <w:tcPr/>
          <w:p>
            <w:r>
              <w:t xml:space="preserve">Kundenservice</w:t>
            </w:r>
          </w:p>
        </w:tc>
        <w:tc>
          <w:tcPr/>
          <w:p>
            <w:r>
              <w:t xml:space="preserve">Rückmeldung und Abschlusskommunikation</w:t>
            </w:r>
          </w:p>
        </w:tc>
        <w:tc>
          <w:tcPr/>
          <w:p>
            <w:r>
              <w:t xml:space="preserve">CRM, Mail</w:t>
            </w:r>
          </w:p>
        </w:tc>
      </w:tr>
    </w:tbl>
    <w:p>
      <w:r>
        <w:t xml:space="preserve">3. Standardablauf</w:t>
      </w:r>
    </w:p>
    <w:tbl>
      <w:tblPr>
        <w:tblW w:w="0" w:type="auto"/>
      </w:tblPr>
      <w:tr>
        <w:tc>
          <w:tcPr/>
          <w:p>
            <w:r>
              <w:t xml:space="preserve">Nr.</w:t>
            </w:r>
          </w:p>
        </w:tc>
        <w:tc>
          <w:tcPr/>
          <w:p>
            <w:r>
              <w:t xml:space="preserve">Schritt</w:t>
            </w:r>
          </w:p>
        </w:tc>
        <w:tc>
          <w:tcPr/>
          <w:p>
            <w:r>
              <w:t xml:space="preserve">Verantwortung</w:t>
            </w:r>
          </w:p>
        </w:tc>
        <w:tc>
          <w:tcPr/>
          <w:p>
            <w:r>
              <w:t xml:space="preserve">Ergebnis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Vorgang anlegen</w:t>
            </w:r>
          </w:p>
        </w:tc>
        <w:tc>
          <w:tcPr/>
          <w:p>
            <w:r>
              <w:t xml:space="preserve">Sachbearbeitung</w:t>
            </w:r>
          </w:p>
        </w:tc>
        <w:tc>
          <w:tcPr/>
          <w:p>
            <w:r>
              <w:t xml:space="preserve">Fallnummer vorhanden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Unterlagen prüfen</w:t>
            </w:r>
          </w:p>
        </w:tc>
        <w:tc>
          <w:tcPr/>
          <w:p>
            <w:r>
              <w:t xml:space="preserve">Sachbearbeitung</w:t>
            </w:r>
          </w:p>
        </w:tc>
        <w:tc>
          <w:tcPr/>
          <w:p>
            <w:r>
              <w:t xml:space="preserve">Vollständigkeitsstatus bekannt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Fehlende Unterlagen nachfordern</w:t>
            </w:r>
          </w:p>
        </w:tc>
        <w:tc>
          <w:tcPr/>
          <w:p>
            <w:r>
              <w:t xml:space="preserve">Sachbearbeitung</w:t>
            </w:r>
          </w:p>
        </w:tc>
        <w:tc>
          <w:tcPr/>
          <w:p>
            <w:r>
              <w:t xml:space="preserve">Nachforderung versandt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Abweichung klassifizieren</w:t>
            </w:r>
          </w:p>
        </w:tc>
        <w:tc>
          <w:tcPr/>
          <w:p>
            <w:r>
              <w:t xml:space="preserve">Fachbereich</w:t>
            </w:r>
          </w:p>
        </w:tc>
        <w:tc>
          <w:tcPr/>
          <w:p>
            <w:r>
              <w:t xml:space="preserve">Abweichungsart dokumentiert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Freigabe entscheiden</w:t>
            </w:r>
          </w:p>
        </w:tc>
        <w:tc>
          <w:tcPr/>
          <w:p>
            <w:r>
              <w:t xml:space="preserve">Teamleitung</w:t>
            </w:r>
          </w:p>
        </w:tc>
        <w:tc>
          <w:tcPr/>
          <w:p>
            <w:r>
              <w:t xml:space="preserve">Entscheidung dokumentiert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Abschluss dokumentieren</w:t>
            </w:r>
          </w:p>
        </w:tc>
        <w:tc>
          <w:tcPr/>
          <w:p>
            <w:r>
              <w:t xml:space="preserve">Kundenservice</w:t>
            </w:r>
          </w:p>
        </w:tc>
        <w:tc>
          <w:tcPr/>
          <w:p>
            <w:r>
              <w:t xml:space="preserve">Fall abgeschlossen</w:t>
            </w:r>
          </w:p>
        </w:tc>
      </w:tr>
    </w:tbl>
    <w:p>
      <w:r>
        <w:t xml:space="preserve">4. Abnahme für diesen Micro-Test</w:t>
      </w:r>
    </w:p>
    <w:p>
      <w:r>
        <w:t xml:space="preserve">Erwartet werden genau 6 Kernschritte in derselben Reihenfolge wie oben. Die Schritte „Unterlagen prüfen“ und „Fehlende Unterlagen nachfordern“ dürfen nicht zusammengelegt werden. Die Schritte „Abweichung klassifizieren“ und „Freigabe entscheiden“ dürfen nicht semantisch verschmolzen werden.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ProcessApp2026 QA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ProcessApp2026 QA Fixture</dc:title>
  <dc:creator>Codex QA Scaffold</dc:creator>
  <cp:lastModifiedBy>Codex QA Scaffold</cp:lastModifiedBy>
</cp:coreProperties>
</file>