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</w:t>
      </w:r>
      <w:r w:rsidDel="00000000" w:rsidR="00000000" w:rsidRPr="00000000">
        <w:rPr>
          <w:sz w:val="20"/>
          <w:szCs w:val="20"/>
          <w:rtl w:val="0"/>
        </w:rPr>
        <w:t xml:space="preserve">japanese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30) j</w:t>
      </w:r>
      <w:r w:rsidDel="00000000" w:rsidR="00000000" w:rsidRPr="00000000">
        <w:rPr>
          <w:sz w:val="20"/>
          <w:szCs w:val="20"/>
          <w:rtl w:val="0"/>
        </w:rPr>
        <w:t xml:space="preserve">apanese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　【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answer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叙述用法の形容詞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文副詞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名詞節を導く従属接続詞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付加疑問文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間接疑問文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QQ3+MLgK1d6APbSzTfeX1+Uog==">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