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71865f" w14:paraId="3271865f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instance_id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identity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activity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temporal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2.2.2.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2.5.2.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context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context instances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activity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temporal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presence_info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contextlog_context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instance_id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policyrules_apps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actionlog_apps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violationlog_apps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policyrules_permissions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actionlog_permissions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4.10. Reference violationlog_permissions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