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877F2"/>
        </w:rPr>
        <w:t>Plan de negocio y captación de clientes — IA Engineering</w:t>
      </w:r>
    </w:p>
    <w:p>
      <w:r>
        <w:rPr>
          <w:rFonts w:ascii="Calibri" w:hAnsi="Calibri"/>
          <w:i w:val="0"/>
          <w:color w:val="1C1E21"/>
          <w:sz w:val="22"/>
        </w:rPr>
        <w:t>Mercado: PYME retail/comercio en todo el país, con primera ola de clientes cerrada por proximidad presencial.</w:t>
      </w:r>
    </w:p>
    <w:p>
      <w:r>
        <w:rPr>
          <w:rFonts w:ascii="Calibri" w:hAnsi="Calibri"/>
          <w:i w:val="0"/>
          <w:color w:val="1C1E21"/>
          <w:sz w:val="22"/>
        </w:rPr>
        <w:t>Equipo: 2–5 personas desde el inicio.</w:t>
      </w:r>
    </w:p>
    <w:p>
      <w:pPr>
        <w:pStyle w:val="Heading2"/>
      </w:pPr>
      <w:r>
        <w:rPr>
          <w:rFonts w:ascii="Calibri" w:hAnsi="Calibri"/>
          <w:color w:val="1877F2"/>
        </w:rPr>
        <w:t>Posicionamiento (propuesta corta)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Qué vendes: ingeniería de software a la medida y implementación práctica de IA (automatización, integraciones, asistentes, analítica) cuando genere ROI claro, no demos vacías.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Para quién: PYME retail/comercio (inventarios, multicaja, ecommerce vs tienda física, promos, ERP ligero): todo el país como mercado dirigible, pero los primeros cierres con visita/reunión en zona cercana al equipo para acelerar confianza y referidos; después el mismo playbook se replica remoto dentro del país.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Diferencial frente al “solo freelance”: equipo corto pero formal — contrato, SLA básico, PM ligero, repositorios, backlog y entregas por hitos — sin verse como gig genérico.</w:t>
      </w:r>
    </w:p>
    <w:p>
      <w:pPr>
        <w:pStyle w:val="Heading2"/>
      </w:pPr>
      <w:r>
        <w:rPr>
          <w:rFonts w:ascii="Calibri" w:hAnsi="Calibri"/>
          <w:color w:val="1877F2"/>
        </w:rPr>
        <w:t>Estructura del business plan (documento recomendado, 15–25 páginas ejecutables)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Resumen ejecutivo — problema, solución, mercado inicial, equipo, modelo de ingresos, hitos año 1, necesidad de financiación (si aplica).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Visión / misión / valores — en media página; énfasis en resultado de negocio y responsabilidad con datos.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Oferta (productización del servicio) — paquetes claros por tipo de proyecto (véase siguiente sección).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Mercado y competencia local — agencias digitales genéricas, freelancers, grandes integradores; tu nicho entre calidad técnica y proximidad.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Modelo comercial — tarifas (hora / sprint / alcance cerrado), anticipos (%), soporte recurrente opcional mensual tras entrega.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Marketing y ventas (GTM) — embudo desde contacto hasta propuesta cerrada.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Plan operativo — roles mínimos (ventas/cuenta, PM/tecnología, seguridad/despliegue), toolchain (Git, CI, contratos y NDAs estándar).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Finanzas año 1 — costos fijos equipo y herramientas; ingresos por escenarios (pesimista/base/optimista); punto de equilibrio y runway.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Riesgos y mitigaciones — creep de alcance (contratos y alcance cerrado), proyectos zombies (hitos y pagos escalonados), dependencia de pocos clientes.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Anexos — one-pagers de servicios, plantilla propuesta PDF, ejemplo SOW corto.</w:t>
      </w:r>
    </w:p>
    <w:p>
      <w:pPr>
        <w:pStyle w:val="Heading2"/>
      </w:pPr>
      <w:r>
        <w:rPr>
          <w:rFonts w:ascii="Calibri" w:hAnsi="Calibri"/>
          <w:color w:val="1877F2"/>
        </w:rPr>
        <w:t>Oferta recomendada (paquetes fáciles de vender por PYME)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Discovery / Auditoría técnico-producto (1–3 días): proceso actual, puntos de dolor, oportunidad IA realista, backlog priorizado — entrable en pago y bajo riesgo para el cliente.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MVPs y automatizaciones (4–8 semanas alcance cerrado): un flujo central (ERP/CRM/Excel/WhatsApp/email) bien integrado antes de IA compleja solo por imagen.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Producto IA acotado (cuando tras discovery sí hay caso): clasificación, recuperación de información, soporte de primer nivel orientado por IA, extracción de datos de documentos — con KPI y dataset mínimo definidos en contrato.</w:t>
      </w:r>
    </w:p>
    <w:p>
      <w:pPr>
        <w:pStyle w:val="Heading2"/>
      </w:pPr>
      <w:r>
        <w:rPr>
          <w:rFonts w:ascii="Calibri" w:hAnsi="Calibri"/>
          <w:color w:val="1877F2"/>
        </w:rPr>
        <w:t>Prospección y conseguir clientes (país + playa presencial + equipo pequeño)</w:t>
      </w:r>
    </w:p>
    <w:p>
      <w:r>
        <w:rPr>
          <w:rFonts w:ascii="Calibri" w:hAnsi="Calibri"/>
          <w:i w:val="0"/>
          <w:color w:val="1C1E21"/>
          <w:sz w:val="22"/>
        </w:rPr>
        <w:t>Priorizar canal de alta conversión sobre volumen bruto: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ICP año 1 (retail): tiendas físicas/CEDIS pequeños, franquicias locales, retail con multicaja y stock en Excel/un ERP antiguo, tickets mixtos ecommerce+tienda — dolores repetibles (inventario, cuadres, devoluciones, promos, integración TPV–contabilidad, alertas de stock).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Geografía: prospección y partnership nacional (LinkedIn, directorios del sector, ecosistema de mayoristas); para los primeros 5–15 clientes, radio presencial práctico (mismo día o viaje corto) y eventos donde concentren comerciantes.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Reuniones B2B cercanas: cámara de comercio, mercados y asociaciones de comerciantes, meetups tecnológicos, partners entre implementadores POS, contadores y mayoristas (referidos fuertes en retail).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Casos públicos anonimizados: 2–4 historias antes/después con métricas aproximadas (horas ahorradas, menos errores, menor tiempo de respuesta).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Outbound selectivo: 20–40 empresas al mes muy filtradas: correo corto + enlace a agenda (Cal.com/Calendly) + llamada de seguimiento.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Contenido mínimo creíble: web de una página con servicios claros + formulario de contacto + logos cuando existan; LinkedIn del equipo alineado con el mismo mensaje.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Partners “no tecnológicos”: agencias solo diseño/marketing sin capacidad de backend; outsourcing marca blanca si encaja tu modelo.</w:t>
      </w:r>
    </w:p>
    <w:p>
      <w:r>
        <w:rPr>
          <w:rFonts w:ascii="Calibri" w:hAnsi="Calibri"/>
          <w:i w:val="0"/>
          <w:color w:val="1C1E21"/>
          <w:sz w:val="22"/>
        </w:rPr>
        <w:t>Regla año 1: vertical única retail/comercio; no abrir segunda vertical hasta tener 2 casos repetibles públicos en ese espacio (evita dispersión con equipo corto).</w:t>
      </w:r>
    </w:p>
    <w:p>
      <w:pPr>
        <w:pStyle w:val="Heading2"/>
      </w:pPr>
      <w:r>
        <w:rPr>
          <w:rFonts w:ascii="Calibri" w:hAnsi="Calibri"/>
          <w:color w:val="1877F2"/>
        </w:rPr>
        <w:t>Embudo de ventas (plantilla de proceso)</w:t>
      </w:r>
    </w:p>
    <w:p>
      <w:r>
        <w:rPr>
          <w:rFonts w:ascii="Calibri" w:hAnsi="Calibri"/>
          <w:i w:val="0"/>
          <w:color w:val="1C1E21"/>
          <w:sz w:val="22"/>
        </w:rPr>
        <w:t>Contacto inicial → llamada exploración → discovery pagado (recomendado) → propuesta fija con alcance, fechas e importe → firma + anticipo ≥30 % → desarrollo por hitos con demos → UAT cliente → puesta en marcha y soporte.</w:t>
      </w:r>
    </w:p>
    <w:p>
      <w:pPr>
        <w:pStyle w:val="Heading2"/>
      </w:pPr>
      <w:r>
        <w:rPr>
          <w:rFonts w:ascii="Calibri" w:hAnsi="Calibri"/>
          <w:color w:val="1877F2"/>
        </w:rPr>
        <w:t>Checklist equipo 2–5 (roles críticos)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Quién firma la cuenta y mantiene la relación con el cliente.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Quién prioriza el backlog sin que todo caiga sobre quien desarrolla.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Quién garantiza calidad y despliegue antes de las demos.</w:t>
      </w:r>
    </w:p>
    <w:p>
      <w:pPr>
        <w:pStyle w:val="Heading2"/>
      </w:pPr>
      <w:r>
        <w:rPr>
          <w:rFonts w:ascii="Calibri" w:hAnsi="Calibri"/>
          <w:color w:val="1877F2"/>
        </w:rPr>
        <w:t>Siguientes pasos concretos (orden sugerido)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Acordar naming legal (marca operativa “IA Engineering” vs razón social) y página web mínima.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Documentar tres paquetes con precios orientativos o rangos públicos (“desde”) y exclusiones de alcance.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Construir 2 casos de ejemplo (demo / portfolio), incluso con proyecto interno.</w:t>
      </w:r>
    </w:p>
    <w:p>
      <w:pPr>
        <w:pStyle w:val="ListNumber"/>
      </w:pPr>
      <w:r>
        <w:rPr>
          <w:rFonts w:ascii="Calibri" w:hAnsi="Calibri"/>
          <w:i w:val="0"/>
          <w:color w:val="1C1E21"/>
          <w:sz w:val="22"/>
        </w:rPr>
        <w:t>Lista de 50 objetivos retail (mezcla zona cercana + nacional filtrado); primera ola de outbound + eventos con densidad de comerciantes + partners POS/mayorista.</w:t>
      </w:r>
    </w:p>
    <w:p>
      <w:pPr>
        <w:pStyle w:val="Heading2"/>
      </w:pPr>
      <w:r>
        <w:rPr>
          <w:rFonts w:ascii="Calibri" w:hAnsi="Calibri"/>
          <w:color w:val="1877F2"/>
        </w:rPr>
        <w:t>Checklist siguiente fase (pendientes operativos)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1. Redactar borrador ejecutivo (problema, solución, equipo, año 1) y misión IA Engineering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2. Definir 3 paquetes (discovery, MVP/automatización, IA acotado) con precios “desde” y exclusiones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3. Mapear ICP país: lista 50 cadenas/tiendas retail + competidores y referenciadores (POS, mayoristas)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4. Embudo de ventas + plantilla correo primera llamada + formato propuesta corta PDF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5. Calendario 90 días: eventos locales, outbound, KPI semanales (reuniones/ofertas)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6. Hoja año 1: costos fijos y escenarios ingresos; punto de equilibrio</w:t>
      </w:r>
    </w:p>
    <w:p>
      <w:pPr>
        <w:pStyle w:val="ListBullet"/>
      </w:pPr>
      <w:r>
        <w:rPr>
          <w:rFonts w:ascii="Calibri" w:hAnsi="Calibri"/>
          <w:i w:val="0"/>
          <w:color w:val="1C1E21"/>
          <w:sz w:val="22"/>
        </w:rPr>
        <w:t>7. Legal ligero: NDA corto, anticipo, pagos escalonados, cláusula de cambios de alcance</w:t>
      </w:r>
    </w:p>
    <w:p>
      <w:r>
        <w:rPr>
          <w:rFonts w:ascii="Calibri" w:hAnsi="Calibri"/>
          <w:i/>
          <w:color w:val="1C1E21"/>
          <w:sz w:val="18"/>
        </w:rPr>
        <w:t>Documento alineado con el plan Cursor `business_plan_ia_engineering_4c842a3b`.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