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</w:t>
      </w:r>
      <w:r>
        <w:t xml:space="preserve"> </w:t>
      </w:r>
      <w:r>
        <w:t xml:space="preserve">организации к Интернету.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строение-схемы-l1"/>
    <w:p>
      <w:pPr>
        <w:pStyle w:val="Heading2"/>
      </w:pPr>
      <w:r>
        <w:t xml:space="preserve">2.1 Построение схемы L1</w:t>
      </w:r>
    </w:p>
    <w:p>
      <w:pPr>
        <w:pStyle w:val="FirstParagraph"/>
      </w:pPr>
      <w:r>
        <w:t xml:space="preserve">На первом этапе была сформирована физическая топология сети уровня L1, включающая сегмент Интернета, провайдера и локальной сети. В сегменте Интернета размещён коммутатор, к которому подключены серверы по интерфейсам FastEthernet, а также медиаконвертер для связи с сетью провайдера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37610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1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Физическая топология сети уровня L1 с сегментом Интернета и подключением серверов</w:t>
            </w:r>
          </w:p>
          <w:bookmarkEnd w:id="24"/>
        </w:tc>
      </w:tr>
    </w:tbl>
    <w:bookmarkEnd w:id="25"/>
    <w:bookmarkStart w:id="30" w:name="Xc7cb6f2eecf0c606ab9894c22c9ac074aa66304"/>
    <w:p>
      <w:pPr>
        <w:pStyle w:val="Heading2"/>
      </w:pPr>
      <w:r>
        <w:t xml:space="preserve">2.2 Детализация соединений в сегменте Интернета</w:t>
      </w:r>
    </w:p>
    <w:p>
      <w:pPr>
        <w:pStyle w:val="FirstParagraph"/>
      </w:pPr>
      <w:r>
        <w:t xml:space="preserve">Была уточнена структура соединений: серверы подключены к коммутатору через интерфейсы Fa0/2–Fa0/5, а соединение с провайдером осуществляется через медиаконвертер. Отображены направления передачи данных между устройствами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475790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57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Детализация подключений серверов и медиаконвертера в сегменте Интернета</w:t>
            </w:r>
          </w:p>
          <w:bookmarkEnd w:id="29"/>
        </w:tc>
      </w:tr>
    </w:tbl>
    <w:bookmarkEnd w:id="30"/>
    <w:bookmarkStart w:id="35" w:name="настройка-медиаконвертера"/>
    <w:p>
      <w:pPr>
        <w:pStyle w:val="Heading2"/>
      </w:pPr>
      <w:r>
        <w:t xml:space="preserve">2.3 Настройка медиаконвертера</w:t>
      </w:r>
    </w:p>
    <w:p>
      <w:pPr>
        <w:pStyle w:val="FirstParagraph"/>
      </w:pPr>
      <w:r>
        <w:t xml:space="preserve">В конфигурации медиаконвертера выбраны соответствующие модули для подключения по Fast Ethernet и оптоволокну, что обеспечивает корректную передачу данных между сегментами сети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199199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1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модулей медиаконвертера для подключения Ethernet и оптоволокна</w:t>
            </w:r>
          </w:p>
          <w:bookmarkEnd w:id="34"/>
        </w:tc>
      </w:tr>
    </w:tbl>
    <w:bookmarkEnd w:id="35"/>
    <w:bookmarkStart w:id="40" w:name="размещение-сети-в-физической-области"/>
    <w:p>
      <w:pPr>
        <w:pStyle w:val="Heading2"/>
      </w:pPr>
      <w:r>
        <w:t xml:space="preserve">2.4 Размещение сети в физической области</w:t>
      </w:r>
    </w:p>
    <w:p>
      <w:pPr>
        <w:pStyle w:val="FirstParagraph"/>
      </w:pPr>
      <w:r>
        <w:t xml:space="preserve">Сеть была распределена по физической области, где выделены отдельные здания: Donская, Павловская, провайдер и Интернет. Между зданиями организованы соединения каналов передачи данных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218512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5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Физическое размещение зданий сети и соединений между ними</w:t>
            </w:r>
          </w:p>
          <w:bookmarkEnd w:id="39"/>
        </w:tc>
      </w:tr>
    </w:tbl>
    <w:bookmarkEnd w:id="40"/>
    <w:bookmarkStart w:id="45" w:name="X44d2b229fc5d0c0b0e0a4387b40360a0f1ea595"/>
    <w:p>
      <w:pPr>
        <w:pStyle w:val="Heading2"/>
      </w:pPr>
      <w:r>
        <w:t xml:space="preserve">2.5 Настройка IP-адреса сервера www.yandex.ru</w:t>
      </w:r>
    </w:p>
    <w:p>
      <w:pPr>
        <w:pStyle w:val="FirstParagraph"/>
      </w:pPr>
      <w:r>
        <w:t xml:space="preserve">Для сервера www.yandex.ru задан статический IP-адрес 192.0.2.11 с маской 255.255.255.0 и шлюзом по умолчанию 192.0.2.1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733800" cy="343522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5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IP-параметров сервера www.yandex.ru</w:t>
            </w:r>
          </w:p>
          <w:bookmarkEnd w:id="44"/>
        </w:tc>
      </w:tr>
    </w:tbl>
    <w:bookmarkEnd w:id="45"/>
    <w:bookmarkStart w:id="50" w:name="настройка-ip-адреса-сервера-www.rudn.ru"/>
    <w:p>
      <w:pPr>
        <w:pStyle w:val="Heading2"/>
      </w:pPr>
      <w:r>
        <w:t xml:space="preserve">2.6 Настройка IP-адреса сервера www.rudn.ru</w:t>
      </w:r>
    </w:p>
    <w:p>
      <w:pPr>
        <w:pStyle w:val="FirstParagraph"/>
      </w:pPr>
      <w:r>
        <w:t xml:space="preserve">Для сервера www.rudn.ru установлен статический IP-адрес 192.0.2.14 с маской 255.255.255.0 и шлюзом 192.0.2.1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6"/>
          <w:p>
            <w:pPr>
              <w:pStyle w:val="Compact"/>
              <w:jc w:val="center"/>
            </w:pPr>
            <w:r>
              <w:drawing>
                <wp:inline>
                  <wp:extent cx="3733800" cy="283071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0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IP-параметров сервера www.rudn.ru</w:t>
            </w:r>
          </w:p>
          <w:bookmarkEnd w:id="49"/>
        </w:tc>
      </w:tr>
    </w:tbl>
    <w:bookmarkEnd w:id="50"/>
    <w:bookmarkStart w:id="55" w:name="X3750e657769a087bb24c586030756d6772b4082"/>
    <w:p>
      <w:pPr>
        <w:pStyle w:val="Heading2"/>
      </w:pPr>
      <w:r>
        <w:t xml:space="preserve">2.7 Настройка IP-адреса сервера stud.rudn.university</w:t>
      </w:r>
    </w:p>
    <w:p>
      <w:pPr>
        <w:pStyle w:val="FirstParagraph"/>
      </w:pPr>
      <w:r>
        <w:t xml:space="preserve">Сервер stud.rudn.university настроен со статическим IP-адресом 192.0.2.12, маской 255.255.255.0 и шлюзом 192.0.2.1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7"/>
          <w:p>
            <w:pPr>
              <w:pStyle w:val="Compact"/>
              <w:jc w:val="center"/>
            </w:pPr>
            <w:r>
              <w:drawing>
                <wp:inline>
                  <wp:extent cx="3733800" cy="274210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2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IP-параметров сервера stud.rudn.university</w:t>
            </w:r>
          </w:p>
          <w:bookmarkEnd w:id="54"/>
        </w:tc>
      </w:tr>
    </w:tbl>
    <w:bookmarkEnd w:id="55"/>
    <w:bookmarkStart w:id="60" w:name="X8041e96de7947ed76a657c585aa3cd2df14e1a7"/>
    <w:p>
      <w:pPr>
        <w:pStyle w:val="Heading2"/>
      </w:pPr>
      <w:r>
        <w:t xml:space="preserve">2.8 Настройка IP-адреса сервера esystem.pfur.ru</w:t>
      </w:r>
    </w:p>
    <w:p>
      <w:pPr>
        <w:pStyle w:val="FirstParagraph"/>
      </w:pPr>
      <w:r>
        <w:t xml:space="preserve">Для сервера esystem.pfur.ru задан статический IP-адрес 192.0.2.13, маска 255.255.255.0 и шлюз 192.0.2.1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8"/>
          <w:p>
            <w:pPr>
              <w:pStyle w:val="Compact"/>
              <w:jc w:val="center"/>
            </w:pPr>
            <w:r>
              <w:drawing>
                <wp:inline>
                  <wp:extent cx="3733800" cy="291280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2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IP-параметров сервера esystem.pfur.ru</w:t>
            </w:r>
          </w:p>
          <w:bookmarkEnd w:id="59"/>
        </w:tc>
      </w:tr>
    </w:tbl>
    <w:bookmarkEnd w:id="60"/>
    <w:bookmarkStart w:id="65" w:name="настройка-dns-сервера"/>
    <w:p>
      <w:pPr>
        <w:pStyle w:val="Heading2"/>
      </w:pPr>
      <w:r>
        <w:t xml:space="preserve">2.9 Настройка DNS-сервера</w:t>
      </w:r>
    </w:p>
    <w:p>
      <w:pPr>
        <w:pStyle w:val="FirstParagraph"/>
      </w:pPr>
      <w:r>
        <w:t xml:space="preserve">На DNS-сервере добавлены записи типа A для всех серверов сети, включая внутренние и внешние ресурсы, с указанием соответствующих IP-адресов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9"/>
          <w:p>
            <w:pPr>
              <w:pStyle w:val="Compact"/>
              <w:jc w:val="center"/>
            </w:pPr>
            <w:r>
              <w:drawing>
                <wp:inline>
                  <wp:extent cx="3733800" cy="341062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0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DNS-записей для серверов сети</w:t>
            </w:r>
          </w:p>
          <w:bookmarkEnd w:id="64"/>
        </w:tc>
      </w:tr>
    </w:tbl>
    <w:bookmarkEnd w:id="65"/>
    <w:bookmarkStart w:id="70" w:name="X753fb90a476004144a99c7da066200fcc8e1972"/>
    <w:p>
      <w:pPr>
        <w:pStyle w:val="Heading2"/>
      </w:pPr>
      <w:r>
        <w:t xml:space="preserve">2.10 Настройка интерфейсов маршрутизатора провайдера</w:t>
      </w:r>
    </w:p>
    <w:p>
      <w:pPr>
        <w:pStyle w:val="FirstParagraph"/>
      </w:pPr>
      <w:r>
        <w:t xml:space="preserve">На маршрутизаторе провайдера настроен интерфейс Fa0/0 с IP-адресом 192.0.2.1/24 для сети Интернета и интерфейс Fa0/1 с адресом 198.51.100.1/30 для соединения с локальной сетью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0"/>
          <w:p>
            <w:pPr>
              <w:pStyle w:val="Compact"/>
              <w:jc w:val="center"/>
            </w:pPr>
            <w:r>
              <w:drawing>
                <wp:inline>
                  <wp:extent cx="3733800" cy="172543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5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Конфигурация интерфейсов маршрутизатора провайдера</w:t>
            </w:r>
          </w:p>
          <w:bookmarkEnd w:id="69"/>
        </w:tc>
      </w:tr>
    </w:tbl>
    <w:bookmarkEnd w:id="70"/>
    <w:bookmarkStart w:id="75" w:name="X71e400671b69a174f79d1cd55a6de3b2db48f09"/>
    <w:p>
      <w:pPr>
        <w:pStyle w:val="Heading2"/>
      </w:pPr>
      <w:r>
        <w:t xml:space="preserve">2.11 Настройка интерфейса маршрутизатора локальной сети</w:t>
      </w:r>
    </w:p>
    <w:p>
      <w:pPr>
        <w:pStyle w:val="FirstParagraph"/>
      </w:pPr>
      <w:r>
        <w:t xml:space="preserve">На маршрутизаторе локальной сети настроен интерфейс Fa0/1 с IP-адресом 198.51.100.2/30 для подключения к сети провайдера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1"/>
          <w:p>
            <w:pPr>
              <w:pStyle w:val="Compact"/>
              <w:jc w:val="center"/>
            </w:pPr>
            <w:r>
              <w:drawing>
                <wp:inline>
                  <wp:extent cx="3733800" cy="119896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8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Конфигурация интерфейса маршрутизатора локальной сети</w:t>
            </w:r>
          </w:p>
          <w:bookmarkEnd w:id="74"/>
        </w:tc>
      </w:tr>
    </w:tbl>
    <w:bookmarkEnd w:id="75"/>
    <w:bookmarkStart w:id="76" w:name="выводы"/>
    <w:p>
      <w:pPr>
        <w:pStyle w:val="Heading2"/>
      </w:pPr>
      <w:r>
        <w:t xml:space="preserve">2.12 Выводы</w:t>
      </w:r>
    </w:p>
    <w:p>
      <w:pPr>
        <w:pStyle w:val="FirstParagraph"/>
      </w:pPr>
      <w:r>
        <w:t xml:space="preserve">В ходе выполнения работы была построена модель сети с подключением к провайдеру и сети Интернет, включая настройку физической топологии, соединений и адресации узлов. Были назначены статические IP-адреса серверам модельной сети и настроено взаимодействие между сегментами сети через маршрутизаторы.</w:t>
      </w:r>
    </w:p>
    <w:p>
      <w:pPr>
        <w:pStyle w:val="BodyText"/>
      </w:pPr>
      <w:r>
        <w:t xml:space="preserve">Дополнительно была реализована настройка DNS-сервера с добавлением записей типа A для обеспечения разрешения доменных имён в IP-адреса. Это позволило обеспечить доступ к сетевым ресурсам как по IP-адресам, так и по именам.</w:t>
      </w:r>
    </w:p>
    <w:p>
      <w:pPr>
        <w:pStyle w:val="BodyText"/>
      </w:pPr>
      <w:r>
        <w:t xml:space="preserve">В результате выполненных действий обеспечена связность сети и корректное взаимодействие между всеми её элементами, что соответствует поставленной задаче по подготовке сети к работе и подключению к Интернету 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Ибрахим Мохсейн Алькамаль</dc:creator>
  <dc:language>ru-RU</dc:language>
  <cp:keywords/>
  <dcterms:created xsi:type="dcterms:W3CDTF">2026-04-25T20:26:41Z</dcterms:created>
  <dcterms:modified xsi:type="dcterms:W3CDTF">2026-04-25T20:26:41Z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