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E0201C"/>
          <w:sz w:val="36"/>
        </w:rPr>
        <w:t>B-MORÏ / BONAFIDE ECOSISTEMA DIGITAL</w:t>
      </w:r>
    </w:p>
    <w:p>
      <w:pPr>
        <w:spacing w:before="160" w:after="80"/>
        <w:jc w:val="center"/>
      </w:pPr>
      <w:r>
        <w:rPr>
          <w:b/>
          <w:color w:val="EF7A2C"/>
          <w:sz w:val="28"/>
        </w:rPr>
        <w:t>4. Plataforma Digital y Operaciones</w:t>
      </w:r>
    </w:p>
    <w:p>
      <w:pPr>
        <w:spacing w:before="0" w:after="40"/>
        <w:jc w:val="center"/>
      </w:pPr>
      <w:r>
        <w:rPr>
          <w:b w:val="0"/>
          <w:color w:val="5B5B5F"/>
          <w:sz w:val="18"/>
        </w:rPr>
        <w:t>Versión 1.0 — Julio 2026</w:t>
      </w:r>
    </w:p>
    <w:p>
      <w:pPr>
        <w:spacing w:before="0" w:after="0"/>
        <w:jc w:val="center"/>
      </w:pPr>
      <w:r>
        <w:rPr>
          <w:b w:val="0"/>
          <w:color w:val="5B5B5F"/>
          <w:sz w:val="18"/>
        </w:rPr>
        <w:t>Confidencial — uso interno</w:t>
      </w:r>
    </w:p>
    <w:p>
      <w:r>
        <w:br w:type="page"/>
      </w:r>
    </w:p>
    <w:p>
      <w:pPr>
        <w:spacing w:before="280" w:after="120"/>
      </w:pPr>
      <w:r>
        <w:rPr>
          <w:b/>
          <w:color w:val="E0201C"/>
          <w:sz w:val="32"/>
        </w:rPr>
        <w:t>4.1  Puerta de Enlace API (API Gateway) de B-Morï</w:t>
      </w:r>
    </w:p>
    <w:p>
      <w:pPr>
        <w:spacing w:before="0" w:after="160"/>
      </w:pPr>
      <w:r>
        <w:rPr>
          <w:b w:val="0"/>
        </w:rPr>
        <w:t>La plataforma B-Morï se articula en torno a una API Gateway centralizada que actúa como punto único de entrada para todas las operaciones digitales entre los tres actores del ecosistema: Bonafide (administrador del programa), Contratantes (empresas grandes o entidades públicas) y PYMEs beneficiarias.</w:t>
      </w:r>
    </w:p>
    <w:p>
      <w:pPr>
        <w:spacing w:before="160" w:after="60"/>
      </w:pPr>
      <w:r>
        <w:rPr>
          <w:b/>
          <w:color w:val="26262B"/>
          <w:sz w:val="22"/>
        </w:rPr>
        <w:t>Arquitectura general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>[PYME / App Móvil-Web]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      │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      ▼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>┌──────────────────────────────┐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>│      API Gateway B-Morï      │  ← Autenticación, enrutamiento,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>│  (punto único de entrada)    │    limitación de tasa, trazabilidad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>└────────────┬─────────────────┘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           │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   ┌───────┴────────┐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   ▼                ▼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>[Servicio de       [Servicio de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Facturación]       Créditos]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   │                │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   ▼                ▼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>[Servicio de       [Servicio de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Contratos]         Pagos / IPI]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           │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           ▼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 [Integraciones externas]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 SAP · ERP · Banca · KYC</w:t>
      </w:r>
    </w:p>
    <w:p/>
    <w:p>
      <w:pPr>
        <w:spacing w:before="160" w:after="60"/>
      </w:pPr>
      <w:r>
        <w:rPr>
          <w:b/>
          <w:color w:val="26262B"/>
          <w:sz w:val="22"/>
        </w:rPr>
        <w:t>Funciones principales del Gateway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4561"/>
            <w:shd w:val="clear" w:color="auto" w:fill="E0201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Función</w:t>
            </w:r>
          </w:p>
        </w:tc>
        <w:tc>
          <w:tcPr>
            <w:tcW w:type="dxa" w:w="4561"/>
            <w:shd w:val="clear" w:color="auto" w:fill="E0201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color w:val="26262B"/>
                <w:sz w:val="18"/>
              </w:rPr>
              <w:t>Autenticación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color w:val="26262B"/>
                <w:sz w:val="18"/>
              </w:rPr>
              <w:t>OTP + JWT por sesión. Cada actor (Admin, Contratante, PYME) recibe un token de rol con permisos granulares.</w:t>
            </w:r>
          </w:p>
        </w:tc>
      </w:tr>
      <w:tr>
        <w:tc>
          <w:tcPr>
            <w:tcW w:type="dxa" w:w="4561"/>
            <w:shd w:val="clear" w:color="auto" w:fill="F6F5F3"/>
          </w:tcPr>
          <w:p>
            <w:r>
              <w:rPr>
                <w:color w:val="26262B"/>
                <w:sz w:val="18"/>
              </w:rPr>
              <w:t>Enrutamiento</w:t>
            </w:r>
          </w:p>
        </w:tc>
        <w:tc>
          <w:tcPr>
            <w:tcW w:type="dxa" w:w="4561"/>
            <w:shd w:val="clear" w:color="auto" w:fill="F6F5F3"/>
          </w:tcPr>
          <w:p>
            <w:r>
              <w:rPr>
                <w:color w:val="26262B"/>
                <w:sz w:val="18"/>
              </w:rPr>
              <w:t>Dirige cada petición al microservicio correspondiente (facturas, créditos, contratos, pagos).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color w:val="26262B"/>
                <w:sz w:val="18"/>
              </w:rPr>
              <w:t>Control de tasa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color w:val="26262B"/>
                <w:sz w:val="18"/>
              </w:rPr>
              <w:t>Limitación de solicitudes por actor para proteger la plataforma ante usos abusivos.</w:t>
            </w:r>
          </w:p>
        </w:tc>
      </w:tr>
      <w:tr>
        <w:tc>
          <w:tcPr>
            <w:tcW w:type="dxa" w:w="4561"/>
            <w:shd w:val="clear" w:color="auto" w:fill="F6F5F3"/>
          </w:tcPr>
          <w:p>
            <w:r>
              <w:rPr>
                <w:color w:val="26262B"/>
                <w:sz w:val="18"/>
              </w:rPr>
              <w:t>Trazabilidad</w:t>
            </w:r>
          </w:p>
        </w:tc>
        <w:tc>
          <w:tcPr>
            <w:tcW w:type="dxa" w:w="4561"/>
            <w:shd w:val="clear" w:color="auto" w:fill="F6F5F3"/>
          </w:tcPr>
          <w:p>
            <w:r>
              <w:rPr>
                <w:color w:val="26262B"/>
                <w:sz w:val="18"/>
              </w:rPr>
              <w:t>Registro de auditoría de todas las operaciones: quién, qué, cuándo, desde qué IP.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color w:val="26262B"/>
                <w:sz w:val="18"/>
              </w:rPr>
              <w:t>Validación de esquema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color w:val="26262B"/>
                <w:sz w:val="18"/>
              </w:rPr>
              <w:t>Verifica la integridad de los datos antes de que lleguen a los servicios internos.</w:t>
            </w:r>
          </w:p>
        </w:tc>
      </w:tr>
      <w:tr>
        <w:tc>
          <w:tcPr>
            <w:tcW w:type="dxa" w:w="4561"/>
            <w:shd w:val="clear" w:color="auto" w:fill="F6F5F3"/>
          </w:tcPr>
          <w:p>
            <w:r>
              <w:rPr>
                <w:color w:val="26262B"/>
                <w:sz w:val="18"/>
              </w:rPr>
              <w:t>Cifrado en tránsito</w:t>
            </w:r>
          </w:p>
        </w:tc>
        <w:tc>
          <w:tcPr>
            <w:tcW w:type="dxa" w:w="4561"/>
            <w:shd w:val="clear" w:color="auto" w:fill="F6F5F3"/>
          </w:tcPr>
          <w:p>
            <w:r>
              <w:rPr>
                <w:color w:val="26262B"/>
                <w:sz w:val="18"/>
              </w:rPr>
              <w:t>TLS 1.3 en todas las comunicaciones externas e internas.</w:t>
            </w:r>
          </w:p>
        </w:tc>
      </w:tr>
    </w:tbl>
    <w:p/>
    <w:p>
      <w:pPr>
        <w:spacing w:before="160" w:after="60"/>
      </w:pPr>
      <w:r>
        <w:rPr>
          <w:b/>
          <w:color w:val="26262B"/>
          <w:sz w:val="22"/>
        </w:rPr>
        <w:t>Entornos</w:t>
      </w:r>
    </w:p>
    <w:p>
      <w:pPr>
        <w:spacing w:after="80"/>
      </w:pPr>
      <w:r>
        <w:rPr>
          <w:b/>
          <w:color w:val="26262B"/>
        </w:rPr>
        <w:t xml:space="preserve">Desarrollo / Staging: </w:t>
      </w:r>
      <w:r>
        <w:t>Prototipo funcional de interfaz web desplegado en contenedor Docker + Nginx.</w:t>
      </w:r>
    </w:p>
    <w:p>
      <w:pPr>
        <w:spacing w:after="160"/>
      </w:pPr>
      <w:r>
        <w:rPr>
          <w:b/>
          <w:color w:val="26262B"/>
        </w:rPr>
        <w:t xml:space="preserve">Producción (roadmap): </w:t>
      </w:r>
      <w:r>
        <w:t>API Gateway sobre infraestructura cloud con alta disponibilidad, logs centralizados y monitoreo en tiempo real.</w:t>
      </w:r>
    </w:p>
    <w:p/>
    <w:p>
      <w:pPr>
        <w:spacing w:before="280" w:after="120"/>
      </w:pPr>
      <w:r>
        <w:rPr>
          <w:b/>
          <w:color w:val="E0201C"/>
          <w:sz w:val="32"/>
        </w:rPr>
        <w:t>4.2  Flujo de Trabajo de Procesamiento de Facturas</w:t>
      </w:r>
    </w:p>
    <w:p>
      <w:pPr>
        <w:spacing w:before="0" w:after="120"/>
      </w:pPr>
      <w:r>
        <w:rPr>
          <w:b w:val="0"/>
        </w:rPr>
        <w:t>B-Morï soporta dos modalidades de facturación:</w:t>
      </w:r>
    </w:p>
    <w:p>
      <w:pPr>
        <w:spacing w:before="200" w:after="80"/>
      </w:pPr>
      <w:r>
        <w:rPr>
          <w:b/>
          <w:color w:val="EF7A2C"/>
          <w:sz w:val="26"/>
        </w:rPr>
        <w:t>A) Facturación Inversa (principal)</w:t>
      </w:r>
    </w:p>
    <w:p>
      <w:pPr>
        <w:spacing w:before="0" w:after="120"/>
      </w:pPr>
      <w:r>
        <w:rPr>
          <w:b w:val="0"/>
        </w:rPr>
        <w:t>Es el flujo estándar del programa: el Contratante genera u origina la factura en nombre de la PYME, que luego la valida y recibe el pago anticipado sobre ella.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PYME / Contratante          Bonafide Admin            Sistema de Pago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     │                           │                         │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     │  1. Creación de factura   │                         │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     │  (FAC-2026-XXXX)          │                         │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     │──────────────────────────►│                         │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     │                           │                         │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     │  2. Envío formal          │                         │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     │  (estado: Enviada)        │                         │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     │──────────────────────────►│                         │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     │                           │ 3. Validación documental│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     │                           │    y de contrato        │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     │                           │─────────────────────────┤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     │                           │ 4. Aprobación           │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     │◄──────────────────────────│    (estado: Validada)   │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     │                           │                         │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     │  5. Emisión de IPI        │                         │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     │  (Instrucción de Pago     │────────────────────────►│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     │   Irrevocable)            │                         │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     │                           │                         │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     │  6. Liquidación           │                         │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     │◄──────────────────────────│◄────────────────────────│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     │  (estado: Pagada)         │                         │</w:t>
      </w:r>
    </w:p>
    <w:p/>
    <w:p>
      <w:pPr>
        <w:spacing w:before="160" w:after="60"/>
      </w:pPr>
      <w:r>
        <w:rPr>
          <w:b/>
          <w:color w:val="26262B"/>
          <w:sz w:val="22"/>
        </w:rPr>
        <w:t>Estados del ciclo de vida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561"/>
            <w:shd w:val="clear" w:color="auto" w:fill="E0201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4561"/>
            <w:shd w:val="clear" w:color="auto" w:fill="E0201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color w:val="26262B"/>
                <w:sz w:val="18"/>
              </w:rPr>
              <w:t>Creada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color w:val="26262B"/>
                <w:sz w:val="18"/>
              </w:rPr>
              <w:t>La factura ha sido registrada en el sistema con sus datos básicos.</w:t>
            </w:r>
          </w:p>
        </w:tc>
      </w:tr>
      <w:tr>
        <w:tc>
          <w:tcPr>
            <w:tcW w:type="dxa" w:w="4561"/>
            <w:shd w:val="clear" w:color="auto" w:fill="F6F5F3"/>
          </w:tcPr>
          <w:p>
            <w:r>
              <w:rPr>
                <w:color w:val="26262B"/>
                <w:sz w:val="18"/>
              </w:rPr>
              <w:t>Enviada</w:t>
            </w:r>
          </w:p>
        </w:tc>
        <w:tc>
          <w:tcPr>
            <w:tcW w:type="dxa" w:w="4561"/>
            <w:shd w:val="clear" w:color="auto" w:fill="F6F5F3"/>
          </w:tcPr>
          <w:p>
            <w:r>
              <w:rPr>
                <w:color w:val="26262B"/>
                <w:sz w:val="18"/>
              </w:rPr>
              <w:t>La PYME o el Contratante ha enviado formalmente la factura para revisión.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color w:val="26262B"/>
                <w:sz w:val="18"/>
              </w:rPr>
              <w:t>Validada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color w:val="26262B"/>
                <w:sz w:val="18"/>
              </w:rPr>
              <w:t>Bonafide ha verificado que la factura corresponde a un contrato activo y los datos son correctos.</w:t>
            </w:r>
          </w:p>
        </w:tc>
      </w:tr>
      <w:tr>
        <w:tc>
          <w:tcPr>
            <w:tcW w:type="dxa" w:w="4561"/>
            <w:shd w:val="clear" w:color="auto" w:fill="F6F5F3"/>
          </w:tcPr>
          <w:p>
            <w:r>
              <w:rPr>
                <w:color w:val="26262B"/>
                <w:sz w:val="18"/>
              </w:rPr>
              <w:t>IPI Emitido</w:t>
            </w:r>
          </w:p>
        </w:tc>
        <w:tc>
          <w:tcPr>
            <w:tcW w:type="dxa" w:w="4561"/>
            <w:shd w:val="clear" w:color="auto" w:fill="F6F5F3"/>
          </w:tcPr>
          <w:p>
            <w:r>
              <w:rPr>
                <w:color w:val="26262B"/>
                <w:sz w:val="18"/>
              </w:rPr>
              <w:t>Se ha generado la Instrucción de Pago Irrevocable. El pago está comprometido.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color w:val="26262B"/>
                <w:sz w:val="18"/>
              </w:rPr>
              <w:t>Pagada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color w:val="26262B"/>
                <w:sz w:val="18"/>
              </w:rPr>
              <w:t>El monto ha sido liquidado a la PYME. El ciclo está completo.</w:t>
            </w:r>
          </w:p>
        </w:tc>
      </w:tr>
    </w:tbl>
    <w:p/>
    <w:p>
      <w:pPr>
        <w:spacing w:before="200" w:after="80"/>
      </w:pPr>
      <w:r>
        <w:rPr>
          <w:b/>
          <w:color w:val="EF7A2C"/>
          <w:sz w:val="26"/>
        </w:rPr>
        <w:t>B) Facturación Directa</w:t>
      </w:r>
    </w:p>
    <w:p>
      <w:pPr>
        <w:spacing w:before="0" w:after="80"/>
      </w:pPr>
      <w:r>
        <w:rPr>
          <w:b w:val="0"/>
        </w:rPr>
        <w:t>La PYME emite directamente la factura al Contratante. El flujo es más corto y no genera IPI, ya que el pago sigue los términos contractuales ordinarios sin anticipo de liquidez.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>Creada → Enviada → Validada → Pagada</w:t>
      </w:r>
    </w:p>
    <w:p/>
    <w:p>
      <w:pPr>
        <w:spacing w:before="160" w:after="60"/>
      </w:pPr>
      <w:r>
        <w:rPr>
          <w:b/>
          <w:color w:val="26262B"/>
          <w:sz w:val="22"/>
        </w:rPr>
        <w:t>Tiempos de proceso estimados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61"/>
            <w:shd w:val="clear" w:color="auto" w:fill="E0201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4561"/>
            <w:shd w:val="clear" w:color="auto" w:fill="E0201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Tiempo objetivo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color w:val="26262B"/>
                <w:sz w:val="18"/>
              </w:rPr>
              <w:t>Creación → Envío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color w:val="26262B"/>
                <w:sz w:val="18"/>
              </w:rPr>
              <w:t>Inmediato (autoservicio digital)</w:t>
            </w:r>
          </w:p>
        </w:tc>
      </w:tr>
      <w:tr>
        <w:tc>
          <w:tcPr>
            <w:tcW w:type="dxa" w:w="4561"/>
            <w:shd w:val="clear" w:color="auto" w:fill="F6F5F3"/>
          </w:tcPr>
          <w:p>
            <w:r>
              <w:rPr>
                <w:color w:val="26262B"/>
                <w:sz w:val="18"/>
              </w:rPr>
              <w:t>Envío → Validación</w:t>
            </w:r>
          </w:p>
        </w:tc>
        <w:tc>
          <w:tcPr>
            <w:tcW w:type="dxa" w:w="4561"/>
            <w:shd w:val="clear" w:color="auto" w:fill="F6F5F3"/>
          </w:tcPr>
          <w:p>
            <w:r>
              <w:rPr>
                <w:color w:val="26262B"/>
                <w:sz w:val="18"/>
              </w:rPr>
              <w:t>24–48 horas hábiles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color w:val="26262B"/>
                <w:sz w:val="18"/>
              </w:rPr>
              <w:t>Validación → IPI Emitido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color w:val="26262B"/>
                <w:sz w:val="18"/>
              </w:rPr>
              <w:t>Mismo día hábil</w:t>
            </w:r>
          </w:p>
        </w:tc>
      </w:tr>
      <w:tr>
        <w:tc>
          <w:tcPr>
            <w:tcW w:type="dxa" w:w="4561"/>
            <w:shd w:val="clear" w:color="auto" w:fill="F6F5F3"/>
          </w:tcPr>
          <w:p>
            <w:r>
              <w:rPr>
                <w:color w:val="26262B"/>
                <w:sz w:val="18"/>
              </w:rPr>
              <w:t>IPI Emitido → Pago liquidado</w:t>
            </w:r>
          </w:p>
        </w:tc>
        <w:tc>
          <w:tcPr>
            <w:tcW w:type="dxa" w:w="4561"/>
            <w:shd w:val="clear" w:color="auto" w:fill="F6F5F3"/>
          </w:tcPr>
          <w:p>
            <w:r>
              <w:rPr>
                <w:color w:val="26262B"/>
                <w:sz w:val="18"/>
              </w:rPr>
              <w:t>24–72 horas (según banco corresponsal)</w:t>
            </w:r>
          </w:p>
        </w:tc>
      </w:tr>
    </w:tbl>
    <w:p/>
    <w:p>
      <w:pPr>
        <w:spacing w:before="280" w:after="120"/>
      </w:pPr>
      <w:r>
        <w:rPr>
          <w:b/>
          <w:color w:val="E0201C"/>
          <w:sz w:val="32"/>
        </w:rPr>
        <w:t>4.3  Facturas Certificadas e Instrucciones de Pago Irrevocables (IPI)</w:t>
      </w:r>
    </w:p>
    <w:p>
      <w:pPr>
        <w:spacing w:before="200" w:after="80"/>
      </w:pPr>
      <w:r>
        <w:rPr>
          <w:b/>
          <w:color w:val="EF7A2C"/>
          <w:sz w:val="26"/>
        </w:rPr>
        <w:t>¿Qué es una Factura Certificada en B-Morï?</w:t>
      </w:r>
    </w:p>
    <w:p>
      <w:pPr>
        <w:spacing w:before="0" w:after="80"/>
      </w:pPr>
      <w:r>
        <w:rPr>
          <w:b w:val="0"/>
        </w:rPr>
        <w:t>Una factura certificada es aquella que ha superado el proceso de validación de Bonafide y cumple los siguientes requisitos:</w:t>
      </w:r>
    </w:p>
    <w:p>
      <w:pPr>
        <w:spacing w:after="60"/>
        <w:ind w:left="283"/>
      </w:pPr>
      <w:r>
        <w:rPr>
          <w:b/>
          <w:color w:val="EF7A2C"/>
        </w:rPr>
        <w:t xml:space="preserve">1. Vinculada a un contrato activo: </w:t>
      </w:r>
      <w:r>
        <w:t>Existe un contrato registrado en el sistema (CTR-2026-XXXX) entre la PYME y el Contratante.</w:t>
      </w:r>
    </w:p>
    <w:p>
      <w:pPr>
        <w:spacing w:after="60"/>
        <w:ind w:left="283"/>
      </w:pPr>
      <w:r>
        <w:rPr>
          <w:b/>
          <w:color w:val="EF7A2C"/>
        </w:rPr>
        <w:t xml:space="preserve">2. Datos consistentes: </w:t>
      </w:r>
      <w:r>
        <w:t>El monto, concepto y fechas coinciden con las condiciones del contrato.</w:t>
      </w:r>
    </w:p>
    <w:p>
      <w:pPr>
        <w:spacing w:after="60"/>
        <w:ind w:left="283"/>
      </w:pPr>
      <w:r>
        <w:rPr>
          <w:b/>
          <w:color w:val="EF7A2C"/>
        </w:rPr>
        <w:t xml:space="preserve">3. Documentación KYC vigente: </w:t>
      </w:r>
      <w:r>
        <w:t>Tanto la PYME como el Contratante tienen su perfil KYC aprobado y sin alertas.</w:t>
      </w:r>
    </w:p>
    <w:p>
      <w:pPr>
        <w:spacing w:after="60"/>
        <w:ind w:left="283"/>
      </w:pPr>
      <w:r>
        <w:rPr>
          <w:b/>
          <w:color w:val="EF7A2C"/>
        </w:rPr>
        <w:t xml:space="preserve">4. Dentro del límite de crédito: </w:t>
      </w:r>
      <w:r>
        <w:t>El monto no excede el techo de crédito asignado al contrato.</w:t>
      </w:r>
    </w:p>
    <w:p>
      <w:pPr>
        <w:spacing w:before="120" w:after="160"/>
      </w:pPr>
      <w:r>
        <w:rPr>
          <w:b w:val="0"/>
        </w:rPr>
        <w:t>Una vez certificada, la factura queda sellada digitalmente y no puede modificarse. Cualquier corrección requiere anulación y emisión de una nueva factura.</w:t>
      </w:r>
    </w:p>
    <w:p>
      <w:pPr>
        <w:spacing w:before="160" w:after="60"/>
      </w:pPr>
      <w:r>
        <w:rPr>
          <w:b/>
          <w:color w:val="26262B"/>
          <w:sz w:val="22"/>
        </w:rPr>
        <w:t>Ejemplo de Factura Certificada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>━━━━━━━━━━━━━━━━━━━━━━━━━━━━━━━━━━━━━━━━━━━━━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B-MORÏ · BONAFIDE ECOSISTEMA DIGITAL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FACTURA CERTIFICADA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>━━━━━━━━━━━━━━━━━━━━━━━━━━━━━━━━━━━━━━━━━━━━━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N.º Factura    : FAC-2026-1031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Contrato ref.  : CTR-2026-002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Estado         : Pagada ✓ Certificada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EMISOR (PYME)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Empresa        : Constructora Local GE, S.L.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NIF/RUC        : GE-2020-00445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Dirección      : Malabo, Bioko Norte, GE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RECEPTOR (CONTRATANTE)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Empresa        : Evans Construction &amp; Engineering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Concepto       : Construcción Fase 1 — Cimentación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Período        : Abril 2026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IMPORTE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Monto neto     : XAF 18.000.000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IVA (0% GE)    : XAF 0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TOTAL FACTURA  : XAF 18.000.000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Fecha emisión  : 15/04/2026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Fecha vencim.  : 15/05/2026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Fecha pago     : 22/04/2026 (anticipado vía IPI)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Hash de integridad : a3f9c2...b74d1e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Sello Bonafide     : VALIDADA Y CERTIFICADA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>━━━━━━━━━━━━━━━━━━━━━━━━━━━━━━━━━━━━━━━━━━━━━</w:t>
      </w:r>
    </w:p>
    <w:p/>
    <w:p>
      <w:pPr>
        <w:spacing w:before="200" w:after="80"/>
      </w:pPr>
      <w:r>
        <w:rPr>
          <w:b/>
          <w:color w:val="EF7A2C"/>
          <w:sz w:val="26"/>
        </w:rPr>
        <w:t>¿Qué es una IPI (Instrucción de Pago Irrevocable)?</w:t>
      </w:r>
    </w:p>
    <w:p>
      <w:pPr>
        <w:spacing w:before="0" w:after="120"/>
      </w:pPr>
      <w:r>
        <w:rPr>
          <w:b w:val="0"/>
        </w:rPr>
        <w:t>La IPI es el instrumento clave del modelo de financiamiento de B-Morï. Es una orden de pago emitida por el Contratante, dirigida al banco corresponsal, instruyendo el pago irrevocable de una factura validada a favor de la PYME, con independencia de cualquier disputa comercial posterior.</w:t>
      </w:r>
    </w:p>
    <w:p>
      <w:pPr>
        <w:spacing w:after="60"/>
        <w:ind w:left="283"/>
      </w:pPr>
      <w:r>
        <w:rPr>
          <w:b/>
          <w:color w:val="EF7A2C"/>
        </w:rPr>
        <w:t xml:space="preserve">Irrevocable: </w:t>
      </w:r>
      <w:r>
        <w:t>Una vez emitida y aceptada por el banco, el Contratante no puede cancelarla unilateralmente.</w:t>
      </w:r>
    </w:p>
    <w:p>
      <w:pPr>
        <w:spacing w:after="60"/>
        <w:ind w:left="283"/>
      </w:pPr>
      <w:r>
        <w:rPr>
          <w:b/>
          <w:color w:val="EF7A2C"/>
        </w:rPr>
        <w:t xml:space="preserve">Vinculada a factura: </w:t>
      </w:r>
      <w:r>
        <w:t>Cada IPI referencia exactamente una factura certificada.</w:t>
      </w:r>
    </w:p>
    <w:p>
      <w:pPr>
        <w:spacing w:after="60"/>
        <w:ind w:left="283"/>
      </w:pPr>
      <w:r>
        <w:rPr>
          <w:b/>
          <w:color w:val="EF7A2C"/>
        </w:rPr>
        <w:t xml:space="preserve">Garante de liquidez: </w:t>
      </w:r>
      <w:r>
        <w:t>Permite a Bonafide anticipar el pago a la PYME antes del vencimiento de la factura.</w:t>
      </w:r>
    </w:p>
    <w:p>
      <w:pPr>
        <w:spacing w:after="60"/>
        <w:ind w:left="283"/>
      </w:pPr>
      <w:r>
        <w:rPr>
          <w:b/>
          <w:color w:val="EF7A2C"/>
        </w:rPr>
        <w:t xml:space="preserve">Trazable: </w:t>
      </w:r>
      <w:r>
        <w:t>Registrada en la plataforma con número de serie único.</w:t>
      </w:r>
    </w:p>
    <w:p/>
    <w:p>
      <w:pPr>
        <w:spacing w:before="160" w:after="60"/>
      </w:pPr>
      <w:r>
        <w:rPr>
          <w:b/>
          <w:color w:val="26262B"/>
          <w:sz w:val="22"/>
        </w:rPr>
        <w:t>Ejemplo de IPI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>━━━━━━━━━━━━━━━━━━━━━━━━━━━━━━━━━━━━━━━━━━━━━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INSTRUCCIÓN DE PAGO IRREVOCABLE (IPI)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B-MORÏ · BONAFIDE ECOSISTEMA DIGITAL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>━━━━━━━━━━━━━━━━━━━━━━━━━━━━━━━━━━━━━━━━━━━━━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N.º IPI        : IPI-2026-0089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Factura ref.   : FAC-2026-1031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Contrato ref.  : CTR-2026-002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Fecha emisión  : 18/04/2026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Estado         : EJECUTADA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ORDENANTE (CONTRATANTE)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Razón social   : Evans Construction &amp; Engineering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Banco          : BGFI Bank Guinea Ecuatorial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Cuenta IBAN    : GQ XX XXXX XXXX XXXX XXXX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BENEFICIARIO (PYME)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Razón social   : Constructora Local GE, S.L.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Banco destino  : CCEI Bank GE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Cuenta IBAN    : GQ XX XXXX XXXX XXXX XXXX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INSTRUCCIÓN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El Ordenante instruye irrevocablemente al banco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indicado que transfiera al Beneficiario el importe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de XAF 18.000.000 con fecha valor 22/04/2026,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en concepto de liquidación de la factura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FAC-2026-1031, correspondiente al contrato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CTR-2026-002 activo en la plataforma B-Morï.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Esta instrucción no podrá ser revocada ni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modificada por el Ordenante una vez aceptada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por la entidad bancaria.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Firma digital Bonafide: [SELLO ELECTRÓNICO]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Hash de trazabilidad  : c7a1b3...f92e44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>━━━━━━━━━━━━━━━━━━━━━━━━━━━━━━━━━━━━━━━━━━━━━</w:t>
      </w:r>
    </w:p>
    <w:p/>
    <w:p>
      <w:pPr>
        <w:spacing w:before="280" w:after="120"/>
      </w:pPr>
      <w:r>
        <w:rPr>
          <w:b/>
          <w:color w:val="E0201C"/>
          <w:sz w:val="32"/>
        </w:rPr>
        <w:t>4.4  Capacidades de Integración con Sistemas ERP Corporativos</w:t>
      </w:r>
    </w:p>
    <w:p>
      <w:pPr>
        <w:spacing w:before="200" w:after="80"/>
      </w:pPr>
      <w:r>
        <w:rPr>
          <w:b/>
          <w:color w:val="EF7A2C"/>
          <w:sz w:val="26"/>
        </w:rPr>
        <w:t>Principio de integración</w:t>
      </w:r>
    </w:p>
    <w:p>
      <w:pPr>
        <w:spacing w:before="0" w:after="160"/>
      </w:pPr>
      <w:r>
        <w:rPr>
          <w:b w:val="0"/>
        </w:rPr>
        <w:t>La arquitectura de B-Morï está diseñada para ser agnóstica al ERP del Contratante. La plataforma expone una API REST documentada (OpenAPI 3.0) que permite a cualquier sistema externo consultar, enviar y recibir datos de facturas, contratos y pagos.</w:t>
      </w:r>
    </w:p>
    <w:p>
      <w:pPr>
        <w:spacing w:before="200" w:after="80"/>
      </w:pPr>
      <w:r>
        <w:rPr>
          <w:b/>
          <w:color w:val="EF7A2C"/>
          <w:sz w:val="26"/>
        </w:rPr>
        <w:t>Integración con SAP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4535"/>
        <w:gridCol w:w="2551"/>
      </w:tblGrid>
      <w:tr>
        <w:tc>
          <w:tcPr>
            <w:tcW w:type="dxa" w:w="3041"/>
            <w:shd w:val="clear" w:color="auto" w:fill="E0201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Módulo SAP</w:t>
            </w:r>
          </w:p>
        </w:tc>
        <w:tc>
          <w:tcPr>
            <w:tcW w:type="dxa" w:w="3041"/>
            <w:shd w:val="clear" w:color="auto" w:fill="E0201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Punto de integración B-Morï</w:t>
            </w:r>
          </w:p>
        </w:tc>
        <w:tc>
          <w:tcPr>
            <w:tcW w:type="dxa" w:w="3041"/>
            <w:shd w:val="clear" w:color="auto" w:fill="E0201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Método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color w:val="26262B"/>
                <w:sz w:val="18"/>
              </w:rPr>
              <w:t>FI (Finanzas)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color w:val="26262B"/>
                <w:sz w:val="18"/>
              </w:rPr>
              <w:t>Sincronización de facturas de proveedores (PYMEs)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color w:val="26262B"/>
                <w:sz w:val="18"/>
              </w:rPr>
              <w:t>API REST → iDoc / BAPI</w:t>
            </w:r>
          </w:p>
        </w:tc>
      </w:tr>
      <w:tr>
        <w:tc>
          <w:tcPr>
            <w:tcW w:type="dxa" w:w="3041"/>
            <w:shd w:val="clear" w:color="auto" w:fill="F6F5F3"/>
          </w:tcPr>
          <w:p>
            <w:r>
              <w:rPr>
                <w:color w:val="26262B"/>
                <w:sz w:val="18"/>
              </w:rPr>
              <w:t>MM (Gestión de materiales)</w:t>
            </w:r>
          </w:p>
        </w:tc>
        <w:tc>
          <w:tcPr>
            <w:tcW w:type="dxa" w:w="3041"/>
            <w:shd w:val="clear" w:color="auto" w:fill="F6F5F3"/>
          </w:tcPr>
          <w:p>
            <w:r>
              <w:rPr>
                <w:color w:val="26262B"/>
                <w:sz w:val="18"/>
              </w:rPr>
              <w:t>Verificación de órdenes de compra vinculadas a contratos</w:t>
            </w:r>
          </w:p>
        </w:tc>
        <w:tc>
          <w:tcPr>
            <w:tcW w:type="dxa" w:w="3041"/>
            <w:shd w:val="clear" w:color="auto" w:fill="F6F5F3"/>
          </w:tcPr>
          <w:p>
            <w:r>
              <w:rPr>
                <w:color w:val="26262B"/>
                <w:sz w:val="18"/>
              </w:rPr>
              <w:t>Webhook saliente desde SAP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color w:val="26262B"/>
                <w:sz w:val="18"/>
              </w:rPr>
              <w:t>AP (Cuentas a pagar)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color w:val="26262B"/>
                <w:sz w:val="18"/>
              </w:rPr>
              <w:t>Confirmación de pagos / IPI emitidos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color w:val="26262B"/>
                <w:sz w:val="18"/>
              </w:rPr>
              <w:t>Notificación automática vía webhook</w:t>
            </w:r>
          </w:p>
        </w:tc>
      </w:tr>
      <w:tr>
        <w:tc>
          <w:tcPr>
            <w:tcW w:type="dxa" w:w="3041"/>
            <w:shd w:val="clear" w:color="auto" w:fill="F6F5F3"/>
          </w:tcPr>
          <w:p>
            <w:r>
              <w:rPr>
                <w:color w:val="26262B"/>
                <w:sz w:val="18"/>
              </w:rPr>
              <w:t>CO (Controlling)</w:t>
            </w:r>
          </w:p>
        </w:tc>
        <w:tc>
          <w:tcPr>
            <w:tcW w:type="dxa" w:w="3041"/>
            <w:shd w:val="clear" w:color="auto" w:fill="F6F5F3"/>
          </w:tcPr>
          <w:p>
            <w:r>
              <w:rPr>
                <w:color w:val="26262B"/>
                <w:sz w:val="18"/>
              </w:rPr>
              <w:t>Datos de contratos activos para imputación de costes</w:t>
            </w:r>
          </w:p>
        </w:tc>
        <w:tc>
          <w:tcPr>
            <w:tcW w:type="dxa" w:w="3041"/>
            <w:shd w:val="clear" w:color="auto" w:fill="F6F5F3"/>
          </w:tcPr>
          <w:p>
            <w:r>
              <w:rPr>
                <w:color w:val="26262B"/>
                <w:sz w:val="18"/>
              </w:rPr>
              <w:t>Consulta periódica (batch)</w:t>
            </w:r>
          </w:p>
        </w:tc>
      </w:tr>
    </w:tbl>
    <w:p/>
    <w:p>
      <w:pPr>
        <w:spacing w:before="160" w:after="60"/>
      </w:pPr>
      <w:r>
        <w:rPr>
          <w:b/>
          <w:color w:val="26262B"/>
          <w:sz w:val="22"/>
        </w:rPr>
        <w:t>Flujo de integración SAP ↔ B-Morï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>SAP (Contratante)                 B-Morï API Gateway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    │                                  │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    │  1. Orden de compra aprobada     │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    │─────────────────────────────────►│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    │                                  │  2. Crea/actualiza contrato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    │                                  │     en la plataforma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    │  3. PYME emite factura en B-Morï │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    │◄─────────────────────────────────│  (webhook a SAP)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    │                                  │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    │  4. SAP registra factura         │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    │     en módulo FI (cta. pagar)    │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    │─────────────────────────────────►│  Confirma validación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    │                                  │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    │  5. B-Morï emite IPI             │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    │◄─────────────────────────────────│  (webhook a SAP)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    │                                  │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    │  6. SAP registra pago            │</w:t>
      </w:r>
    </w:p>
    <w:p>
      <w:pPr>
        <w:spacing w:before="0" w:after="0"/>
        <w:ind w:left="283"/>
      </w:pPr>
      <w:r>
        <w:rPr>
          <w:rFonts w:ascii="Courier New" w:hAnsi="Courier New"/>
          <w:color w:val="26262B"/>
          <w:sz w:val="16"/>
        </w:rPr>
        <w:t xml:space="preserve">      │     y cierra posición FI         │</w:t>
      </w:r>
    </w:p>
    <w:p/>
    <w:p>
      <w:pPr>
        <w:spacing w:before="200" w:after="80"/>
      </w:pPr>
      <w:r>
        <w:rPr>
          <w:b/>
          <w:color w:val="EF7A2C"/>
          <w:sz w:val="26"/>
        </w:rPr>
        <w:t>Integración con otros ERPs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69"/>
        <w:gridCol w:w="5102"/>
      </w:tblGrid>
      <w:tr>
        <w:tc>
          <w:tcPr>
            <w:tcW w:type="dxa" w:w="4561"/>
            <w:shd w:val="clear" w:color="auto" w:fill="E0201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Sistema</w:t>
            </w:r>
          </w:p>
        </w:tc>
        <w:tc>
          <w:tcPr>
            <w:tcW w:type="dxa" w:w="4561"/>
            <w:shd w:val="clear" w:color="auto" w:fill="E0201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 de integración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color w:val="26262B"/>
                <w:sz w:val="18"/>
              </w:rPr>
              <w:t>SAP S/4HANA / ECC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color w:val="26262B"/>
                <w:sz w:val="18"/>
              </w:rPr>
              <w:t>En desarrollo — conector en construcción</w:t>
            </w:r>
          </w:p>
        </w:tc>
      </w:tr>
      <w:tr>
        <w:tc>
          <w:tcPr>
            <w:tcW w:type="dxa" w:w="4561"/>
            <w:shd w:val="clear" w:color="auto" w:fill="F6F5F3"/>
          </w:tcPr>
          <w:p>
            <w:r>
              <w:rPr>
                <w:color w:val="26262B"/>
                <w:sz w:val="18"/>
              </w:rPr>
              <w:t>Microsoft Dynamics 365</w:t>
            </w:r>
          </w:p>
        </w:tc>
        <w:tc>
          <w:tcPr>
            <w:tcW w:type="dxa" w:w="4561"/>
            <w:shd w:val="clear" w:color="auto" w:fill="F6F5F3"/>
          </w:tcPr>
          <w:p>
            <w:r>
              <w:rPr>
                <w:color w:val="26262B"/>
                <w:sz w:val="18"/>
              </w:rPr>
              <w:t>Compatible vía API REST estándar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color w:val="26262B"/>
                <w:sz w:val="18"/>
              </w:rPr>
              <w:t>Oracle NetSuite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color w:val="26262B"/>
                <w:sz w:val="18"/>
              </w:rPr>
              <w:t>Compatible vía API REST estándar</w:t>
            </w:r>
          </w:p>
        </w:tc>
      </w:tr>
      <w:tr>
        <w:tc>
          <w:tcPr>
            <w:tcW w:type="dxa" w:w="4561"/>
            <w:shd w:val="clear" w:color="auto" w:fill="F6F5F3"/>
          </w:tcPr>
          <w:p>
            <w:r>
              <w:rPr>
                <w:color w:val="26262B"/>
                <w:sz w:val="18"/>
              </w:rPr>
              <w:t>Odoo</w:t>
            </w:r>
          </w:p>
        </w:tc>
        <w:tc>
          <w:tcPr>
            <w:tcW w:type="dxa" w:w="4561"/>
            <w:shd w:val="clear" w:color="auto" w:fill="F6F5F3"/>
          </w:tcPr>
          <w:p>
            <w:r>
              <w:rPr>
                <w:color w:val="26262B"/>
                <w:sz w:val="18"/>
              </w:rPr>
              <w:t>Compatible vía API REST estándar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color w:val="26262B"/>
                <w:sz w:val="18"/>
              </w:rPr>
              <w:t>ERPs locales / a medida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color w:val="26262B"/>
                <w:sz w:val="18"/>
              </w:rPr>
              <w:t>Compatible mediante webhooks configurables</w:t>
            </w:r>
          </w:p>
        </w:tc>
      </w:tr>
    </w:tbl>
    <w:p/>
    <w:p>
      <w:pPr>
        <w:spacing w:before="200" w:after="80"/>
      </w:pPr>
      <w:r>
        <w:rPr>
          <w:b/>
          <w:color w:val="EF7A2C"/>
          <w:sz w:val="26"/>
        </w:rPr>
        <w:t>Modalidades de integración disponibles</w:t>
      </w:r>
    </w:p>
    <w:p>
      <w:pPr>
        <w:spacing w:after="80"/>
        <w:ind w:left="283"/>
      </w:pPr>
      <w:r>
        <w:rPr>
          <w:b/>
          <w:color w:val="EF7A2C"/>
        </w:rPr>
        <w:t xml:space="preserve">API REST (síncrona): </w:t>
      </w:r>
      <w:r>
        <w:t>Para consultas en tiempo real: estado de facturas, saldos de crédito disponible, contratos activos.</w:t>
      </w:r>
    </w:p>
    <w:p>
      <w:pPr>
        <w:spacing w:after="80"/>
        <w:ind w:left="283"/>
      </w:pPr>
      <w:r>
        <w:rPr>
          <w:b/>
          <w:color w:val="EF7A2C"/>
        </w:rPr>
        <w:t xml:space="preserve">Webhooks (asíncrona): </w:t>
      </w:r>
      <w:r>
        <w:t>Notificaciones automáticas ante eventos clave: factura validada, IPI emitido, pago ejecutado.</w:t>
      </w:r>
    </w:p>
    <w:p>
      <w:pPr>
        <w:spacing w:after="80"/>
        <w:ind w:left="283"/>
      </w:pPr>
      <w:r>
        <w:rPr>
          <w:b/>
          <w:color w:val="EF7A2C"/>
        </w:rPr>
        <w:t xml:space="preserve">Batch / Reconciliación (programada): </w:t>
      </w:r>
      <w:r>
        <w:t>Exportación periódica de datos en formato CSV / JSON / XML para carga masiva en ERP.</w:t>
      </w:r>
    </w:p>
    <w:p>
      <w:pPr>
        <w:spacing w:after="80"/>
        <w:ind w:left="283"/>
      </w:pPr>
      <w:r>
        <w:rPr>
          <w:b/>
          <w:color w:val="EF7A2C"/>
        </w:rPr>
        <w:t xml:space="preserve">Portal manual: </w:t>
      </w:r>
      <w:r>
        <w:t>Para Contratantes sin ERP propio, la plataforma web B-Morï ofrece las mismas operaciones a través de su interfaz.</w:t>
      </w:r>
    </w:p>
    <w:p/>
    <w:p>
      <w:pPr>
        <w:spacing w:before="200" w:after="80"/>
      </w:pPr>
      <w:r>
        <w:rPr>
          <w:b/>
          <w:color w:val="EF7A2C"/>
          <w:sz w:val="26"/>
        </w:rPr>
        <w:t>Seguridad en integraciones</w:t>
      </w:r>
    </w:p>
    <w:p>
      <w:pPr>
        <w:spacing w:after="80"/>
        <w:ind w:left="283"/>
      </w:pPr>
      <w:r>
        <w:rPr>
          <w:b/>
          <w:color w:val="26262B"/>
        </w:rPr>
        <w:t xml:space="preserve">Autenticación: </w:t>
      </w:r>
      <w:r>
        <w:t>OAuth 2.0 (Client Credentials) para integraciones máquina a máquina.</w:t>
      </w:r>
    </w:p>
    <w:p>
      <w:pPr>
        <w:spacing w:after="80"/>
        <w:ind w:left="283"/>
      </w:pPr>
      <w:r>
        <w:rPr>
          <w:b/>
          <w:color w:val="26262B"/>
        </w:rPr>
        <w:t xml:space="preserve">Firma de webhooks: </w:t>
      </w:r>
      <w:r>
        <w:t>Cada evento incluye firma HMAC-SHA256 para verificar el origen.</w:t>
      </w:r>
    </w:p>
    <w:p>
      <w:pPr>
        <w:spacing w:after="80"/>
        <w:ind w:left="283"/>
      </w:pPr>
      <w:r>
        <w:rPr>
          <w:b/>
          <w:color w:val="26262B"/>
        </w:rPr>
        <w:t xml:space="preserve">IP Allowlisting: </w:t>
      </w:r>
      <w:r>
        <w:t>Posibilidad de restringir conexiones a IPs corporativas del Contratante.</w:t>
      </w:r>
    </w:p>
    <w:p>
      <w:pPr>
        <w:spacing w:after="80"/>
        <w:ind w:left="283"/>
      </w:pPr>
      <w:r>
        <w:rPr>
          <w:b/>
          <w:color w:val="26262B"/>
        </w:rPr>
        <w:t xml:space="preserve">Entorno de sandbox: </w:t>
      </w:r>
      <w:r>
        <w:t>Disponible para que los equipos IT de los Contratantes prueben la integración antes de producción.</w:t>
      </w:r>
    </w:p>
    <w:p/>
    <w:p>
      <w:pPr>
        <w:spacing w:before="280" w:after="120"/>
      </w:pPr>
      <w:r>
        <w:rPr>
          <w:b/>
          <w:color w:val="E0201C"/>
          <w:sz w:val="32"/>
        </w:rPr>
        <w:t>Resumen Ejecutivo — Sección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685"/>
        <w:gridCol w:w="3118"/>
      </w:tblGrid>
      <w:tr>
        <w:tc>
          <w:tcPr>
            <w:tcW w:type="dxa" w:w="3041"/>
            <w:shd w:val="clear" w:color="auto" w:fill="E0201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3041"/>
            <w:shd w:val="clear" w:color="auto" w:fill="E0201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 actual</w:t>
            </w:r>
          </w:p>
        </w:tc>
        <w:tc>
          <w:tcPr>
            <w:tcW w:type="dxa" w:w="3041"/>
            <w:shd w:val="clear" w:color="auto" w:fill="E0201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Roadmap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color w:val="26262B"/>
                <w:sz w:val="18"/>
              </w:rPr>
              <w:t>Interfaz digital (web/móvil)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color w:val="26262B"/>
                <w:sz w:val="18"/>
              </w:rPr>
              <w:t>✅ Prototipo funcional completo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color w:val="26262B"/>
                <w:sz w:val="18"/>
              </w:rPr>
              <w:t>Despliegue producción Q3 2026</w:t>
            </w:r>
          </w:p>
        </w:tc>
      </w:tr>
      <w:tr>
        <w:tc>
          <w:tcPr>
            <w:tcW w:type="dxa" w:w="3041"/>
            <w:shd w:val="clear" w:color="auto" w:fill="F6F5F3"/>
          </w:tcPr>
          <w:p>
            <w:r>
              <w:rPr>
                <w:color w:val="26262B"/>
                <w:sz w:val="18"/>
              </w:rPr>
              <w:t>API Gateway</w:t>
            </w:r>
          </w:p>
        </w:tc>
        <w:tc>
          <w:tcPr>
            <w:tcW w:type="dxa" w:w="3041"/>
            <w:shd w:val="clear" w:color="auto" w:fill="F6F5F3"/>
          </w:tcPr>
          <w:p>
            <w:r>
              <w:rPr>
                <w:color w:val="26262B"/>
                <w:sz w:val="18"/>
              </w:rPr>
              <w:t>✅ Arquitectura definida</w:t>
            </w:r>
          </w:p>
        </w:tc>
        <w:tc>
          <w:tcPr>
            <w:tcW w:type="dxa" w:w="3041"/>
            <w:shd w:val="clear" w:color="auto" w:fill="F6F5F3"/>
          </w:tcPr>
          <w:p>
            <w:r>
              <w:rPr>
                <w:color w:val="26262B"/>
                <w:sz w:val="18"/>
              </w:rPr>
              <w:t>Implementación backend Q3 2026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color w:val="26262B"/>
                <w:sz w:val="18"/>
              </w:rPr>
              <w:t>Flujo de facturas (UI)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color w:val="26262B"/>
                <w:sz w:val="18"/>
              </w:rPr>
              <w:t>✅ Operativo en prototipo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color w:val="26262B"/>
                <w:sz w:val="18"/>
              </w:rPr>
              <w:t>Conexión backend Q3 2026</w:t>
            </w:r>
          </w:p>
        </w:tc>
      </w:tr>
      <w:tr>
        <w:tc>
          <w:tcPr>
            <w:tcW w:type="dxa" w:w="3041"/>
            <w:shd w:val="clear" w:color="auto" w:fill="F6F5F3"/>
          </w:tcPr>
          <w:p>
            <w:r>
              <w:rPr>
                <w:color w:val="26262B"/>
                <w:sz w:val="18"/>
              </w:rPr>
              <w:t>IPI digital</w:t>
            </w:r>
          </w:p>
        </w:tc>
        <w:tc>
          <w:tcPr>
            <w:tcW w:type="dxa" w:w="3041"/>
            <w:shd w:val="clear" w:color="auto" w:fill="F6F5F3"/>
          </w:tcPr>
          <w:p>
            <w:r>
              <w:rPr>
                <w:color w:val="26262B"/>
                <w:sz w:val="18"/>
              </w:rPr>
              <w:t>✅ Flujo diseñado e integrado en UI</w:t>
            </w:r>
          </w:p>
        </w:tc>
        <w:tc>
          <w:tcPr>
            <w:tcW w:type="dxa" w:w="3041"/>
            <w:shd w:val="clear" w:color="auto" w:fill="F6F5F3"/>
          </w:tcPr>
          <w:p>
            <w:r>
              <w:rPr>
                <w:color w:val="26262B"/>
                <w:sz w:val="18"/>
              </w:rPr>
              <w:t>Firma electrónica legal Q4 2026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color w:val="26262B"/>
                <w:sz w:val="18"/>
              </w:rPr>
              <w:t>Integración SAP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color w:val="26262B"/>
                <w:sz w:val="18"/>
              </w:rPr>
              <w:t>🔄 Conector en desarrollo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color w:val="26262B"/>
                <w:sz w:val="18"/>
              </w:rPr>
              <w:t>Piloto con primer Contratante Q4 2026</w:t>
            </w:r>
          </w:p>
        </w:tc>
      </w:tr>
      <w:tr>
        <w:tc>
          <w:tcPr>
            <w:tcW w:type="dxa" w:w="3041"/>
            <w:shd w:val="clear" w:color="auto" w:fill="F6F5F3"/>
          </w:tcPr>
          <w:p>
            <w:r>
              <w:rPr>
                <w:color w:val="26262B"/>
                <w:sz w:val="18"/>
              </w:rPr>
              <w:t>Integración otros ERPs</w:t>
            </w:r>
          </w:p>
        </w:tc>
        <w:tc>
          <w:tcPr>
            <w:tcW w:type="dxa" w:w="3041"/>
            <w:shd w:val="clear" w:color="auto" w:fill="F6F5F3"/>
          </w:tcPr>
          <w:p>
            <w:r>
              <w:rPr>
                <w:color w:val="26262B"/>
                <w:sz w:val="18"/>
              </w:rPr>
              <w:t>📋 Especificación lista</w:t>
            </w:r>
          </w:p>
        </w:tc>
        <w:tc>
          <w:tcPr>
            <w:tcW w:type="dxa" w:w="3041"/>
            <w:shd w:val="clear" w:color="auto" w:fill="F6F5F3"/>
          </w:tcPr>
          <w:p>
            <w:r>
              <w:rPr>
                <w:color w:val="26262B"/>
                <w:sz w:val="18"/>
              </w:rPr>
              <w:t>Según demanda de Contratantes</w:t>
            </w:r>
          </w:p>
        </w:tc>
      </w:tr>
    </w:tbl>
    <w:p/>
    <w:p>
      <w:pPr>
        <w:spacing w:before="400" w:after="120"/>
        <w:jc w:val="center"/>
      </w:pPr>
      <w:r>
        <w:rPr>
          <w:b w:val="0"/>
          <w:color w:val="5B5B5F"/>
          <w:sz w:val="16"/>
        </w:rPr>
        <w:t>Documento preparado por el equipo técnico de Bonafide Ecosistema Digital — LiderShore.  Consultas técnicas: informatica@lidershore.com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