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color w:val="0f4761"/>
          <w:sz w:val="40"/>
          <w:szCs w:val="40"/>
          <w:shd w:fill="c6c6c6" w:val="clear"/>
        </w:rPr>
      </w:pPr>
      <w:r w:rsidDel="00000000" w:rsidR="00000000" w:rsidRPr="00000000">
        <w:rPr>
          <w:color w:val="0f4761"/>
          <w:sz w:val="40"/>
          <w:szCs w:val="40"/>
          <w:rtl w:val="0"/>
        </w:rPr>
        <w:t xml:space="preserve">Explorando os Dados de Crédito do Banco Central (SCR)</w:t>
      </w:r>
      <w:r w:rsidDel="00000000" w:rsidR="00000000" w:rsidRPr="00000000">
        <w:rPr>
          <w:color w:val="0f4761"/>
          <w:sz w:val="40"/>
          <w:szCs w:val="40"/>
          <w:shd w:fill="c6c6c6" w:val="clear"/>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360" w:firstLine="0"/>
        <w:jc w:val="center"/>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360" w:firstLine="0"/>
        <w:jc w:val="center"/>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360" w:firstLine="0"/>
        <w:jc w:val="center"/>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360" w:firstLine="0"/>
        <w:jc w:val="center"/>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360" w:firstLine="0"/>
        <w:jc w:val="center"/>
        <w:rPr>
          <w:sz w:val="24"/>
          <w:szCs w:val="24"/>
          <w:shd w:fill="c6c6c6" w:val="clear"/>
        </w:rPr>
      </w:pPr>
      <w:r w:rsidDel="00000000" w:rsidR="00000000" w:rsidRPr="00000000">
        <w:rPr>
          <w:sz w:val="24"/>
          <w:szCs w:val="24"/>
          <w:shd w:fill="c6c6c6" w:val="clear"/>
        </w:rPr>
        <w:drawing>
          <wp:inline distB="114300" distT="114300" distL="114300" distR="114300">
            <wp:extent cx="3149600" cy="15621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1496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360" w:firstLine="0"/>
        <w:jc w:val="center"/>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360" w:firstLine="0"/>
        <w:jc w:val="center"/>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360" w:firstLine="0"/>
        <w:jc w:val="center"/>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360" w:firstLine="0"/>
        <w:jc w:val="center"/>
        <w:rPr>
          <w:sz w:val="24"/>
          <w:szCs w:val="24"/>
          <w:shd w:fill="c6c6c6" w:val="clear"/>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360" w:firstLine="0"/>
        <w:jc w:val="center"/>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360" w:firstLine="0"/>
        <w:jc w:val="center"/>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360" w:firstLine="0"/>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11">
      <w:pPr>
        <w:numPr>
          <w:ilvl w:val="0"/>
          <w:numId w:val="36"/>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bCs w:val="1"/>
          <w:sz w:val="24"/>
          <w:szCs w:val="24"/>
          <w:rtl w:val="0"/>
        </w:rPr>
        <w:t xml:space="preserve">Nome da empresa:</w:t>
      </w:r>
      <w:r w:rsidDel="00000000" w:rsidR="00000000" w:rsidRPr="00000000">
        <w:rPr>
          <w:sz w:val="24"/>
          <w:szCs w:val="24"/>
          <w:rtl w:val="0"/>
        </w:rPr>
        <w:t xml:space="preserve"> BANCO CENTRAL DO BRASIL</w:t>
      </w:r>
      <w:r w:rsidDel="00000000" w:rsidR="00000000" w:rsidRPr="00000000">
        <w:rPr>
          <w:sz w:val="24"/>
          <w:szCs w:val="24"/>
          <w:shd w:fill="c6c6c6" w:val="clear"/>
          <w:rtl w:val="0"/>
        </w:rPr>
        <w:t xml:space="preserve"> </w:t>
      </w:r>
    </w:p>
    <w:p w:rsidR="00000000" w:rsidDel="00000000" w:rsidP="00000000" w:rsidRDefault="00000000" w:rsidRPr="00000000" w14:paraId="00000012">
      <w:pPr>
        <w:numPr>
          <w:ilvl w:val="0"/>
          <w:numId w:val="13"/>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bCs w:val="1"/>
          <w:sz w:val="24"/>
          <w:szCs w:val="24"/>
          <w:rtl w:val="0"/>
        </w:rPr>
        <w:t xml:space="preserve">Número do grupo:</w:t>
      </w:r>
      <w:r w:rsidDel="00000000" w:rsidR="00000000" w:rsidRPr="00000000">
        <w:rPr>
          <w:sz w:val="24"/>
          <w:szCs w:val="24"/>
          <w:rtl w:val="0"/>
        </w:rPr>
        <w:t xml:space="preserve"> GRUPO 8</w:t>
      </w:r>
      <w:r w:rsidDel="00000000" w:rsidR="00000000" w:rsidRPr="00000000">
        <w:rPr>
          <w:sz w:val="24"/>
          <w:szCs w:val="24"/>
          <w:shd w:fill="c6c6c6" w:val="clear"/>
          <w:rtl w:val="0"/>
        </w:rPr>
        <w:t xml:space="preserve"> </w:t>
      </w:r>
    </w:p>
    <w:p w:rsidR="00000000" w:rsidDel="00000000" w:rsidP="00000000" w:rsidRDefault="00000000" w:rsidRPr="00000000" w14:paraId="00000013">
      <w:pPr>
        <w:numPr>
          <w:ilvl w:val="0"/>
          <w:numId w:val="18"/>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bCs w:val="1"/>
          <w:sz w:val="24"/>
          <w:szCs w:val="24"/>
          <w:rtl w:val="0"/>
        </w:rPr>
        <w:t xml:space="preserve">Integrantes:</w:t>
      </w:r>
      <w:r w:rsidDel="00000000" w:rsidR="00000000" w:rsidRPr="00000000">
        <w:rPr>
          <w:sz w:val="24"/>
          <w:szCs w:val="24"/>
          <w:shd w:fill="c6c6c6" w:val="clear"/>
          <w:rtl w:val="0"/>
        </w:rPr>
        <w:t xml:space="preserve"> </w:t>
      </w:r>
    </w:p>
    <w:p w:rsidR="00000000" w:rsidDel="00000000" w:rsidP="00000000" w:rsidRDefault="00000000" w:rsidRPr="00000000" w14:paraId="00000014">
      <w:pPr>
        <w:numPr>
          <w:ilvl w:val="0"/>
          <w:numId w:val="8"/>
        </w:numPr>
        <w:pBdr>
          <w:top w:color="auto" w:space="0" w:sz="0" w:val="none"/>
          <w:bottom w:color="auto" w:space="0" w:sz="0" w:val="none"/>
          <w:right w:color="auto" w:space="0" w:sz="0" w:val="none"/>
          <w:between w:color="auto" w:space="0" w:sz="0" w:val="none"/>
        </w:pBdr>
        <w:ind w:left="1800" w:hanging="360"/>
        <w:rPr>
          <w:rFonts w:ascii="Arial" w:cs="Arial" w:eastAsia="Arial" w:hAnsi="Arial"/>
          <w:sz w:val="20"/>
          <w:szCs w:val="20"/>
        </w:rPr>
      </w:pPr>
      <w:r w:rsidDel="00000000" w:rsidR="00000000" w:rsidRPr="00000000">
        <w:rPr>
          <w:sz w:val="20"/>
          <w:szCs w:val="20"/>
          <w:rtl w:val="0"/>
        </w:rPr>
        <w:t xml:space="preserve">EDUARDO PEREIRA CALLADO NETO - 10750949 - eduardo.callado@mackenzista.com.br</w:t>
      </w:r>
      <w:r w:rsidDel="00000000" w:rsidR="00000000" w:rsidRPr="00000000">
        <w:rPr>
          <w:sz w:val="20"/>
          <w:szCs w:val="20"/>
          <w:shd w:fill="c6c6c6" w:val="clear"/>
          <w:rtl w:val="0"/>
        </w:rPr>
        <w:t xml:space="preserve"> </w:t>
      </w:r>
    </w:p>
    <w:p w:rsidR="00000000" w:rsidDel="00000000" w:rsidP="00000000" w:rsidRDefault="00000000" w:rsidRPr="00000000" w14:paraId="00000015">
      <w:pPr>
        <w:numPr>
          <w:ilvl w:val="0"/>
          <w:numId w:val="31"/>
        </w:numPr>
        <w:pBdr>
          <w:top w:color="auto" w:space="0" w:sz="0" w:val="none"/>
          <w:bottom w:color="auto" w:space="0" w:sz="0" w:val="none"/>
          <w:right w:color="auto" w:space="0" w:sz="0" w:val="none"/>
          <w:between w:color="auto" w:space="0" w:sz="0" w:val="none"/>
        </w:pBdr>
        <w:ind w:left="1800" w:hanging="360"/>
        <w:rPr>
          <w:rFonts w:ascii="Arial" w:cs="Arial" w:eastAsia="Arial" w:hAnsi="Arial"/>
          <w:sz w:val="20"/>
          <w:szCs w:val="20"/>
        </w:rPr>
      </w:pPr>
      <w:r w:rsidDel="00000000" w:rsidR="00000000" w:rsidRPr="00000000">
        <w:rPr>
          <w:sz w:val="20"/>
          <w:szCs w:val="20"/>
          <w:rtl w:val="0"/>
        </w:rPr>
        <w:t xml:space="preserve">JAQUELINE DE OLIVEIRA ALVES - 10755023 - jaquelineoliveira.alves@mackenzista.com.br</w:t>
      </w:r>
      <w:r w:rsidDel="00000000" w:rsidR="00000000" w:rsidRPr="00000000">
        <w:rPr>
          <w:sz w:val="20"/>
          <w:szCs w:val="20"/>
          <w:shd w:fill="c6c6c6" w:val="clear"/>
          <w:rtl w:val="0"/>
        </w:rPr>
        <w:t xml:space="preserve"> </w:t>
      </w:r>
    </w:p>
    <w:p w:rsidR="00000000" w:rsidDel="00000000" w:rsidP="00000000" w:rsidRDefault="00000000" w:rsidRPr="00000000" w14:paraId="00000016">
      <w:pPr>
        <w:numPr>
          <w:ilvl w:val="0"/>
          <w:numId w:val="34"/>
        </w:numPr>
        <w:pBdr>
          <w:top w:color="auto" w:space="0" w:sz="0" w:val="none"/>
          <w:bottom w:color="auto" w:space="0" w:sz="0" w:val="none"/>
          <w:right w:color="auto" w:space="0" w:sz="0" w:val="none"/>
          <w:between w:color="auto" w:space="0" w:sz="0" w:val="none"/>
        </w:pBdr>
        <w:ind w:left="1800" w:hanging="360"/>
        <w:rPr>
          <w:rFonts w:ascii="Arial" w:cs="Arial" w:eastAsia="Arial" w:hAnsi="Arial"/>
          <w:sz w:val="20"/>
          <w:szCs w:val="20"/>
        </w:rPr>
      </w:pPr>
      <w:r w:rsidDel="00000000" w:rsidR="00000000" w:rsidRPr="00000000">
        <w:rPr>
          <w:sz w:val="20"/>
          <w:szCs w:val="20"/>
          <w:rtl w:val="0"/>
        </w:rPr>
        <w:t xml:space="preserve">LUCAS DE LIMA MENDES – 10756562 – 10756562@mackenzista.com.br</w:t>
      </w:r>
      <w:r w:rsidDel="00000000" w:rsidR="00000000" w:rsidRPr="00000000">
        <w:rPr>
          <w:sz w:val="20"/>
          <w:szCs w:val="20"/>
          <w:shd w:fill="c6c6c6" w:val="clear"/>
          <w:rtl w:val="0"/>
        </w:rPr>
        <w:t xml:space="preserve"> </w:t>
      </w:r>
    </w:p>
    <w:p w:rsidR="00000000" w:rsidDel="00000000" w:rsidP="00000000" w:rsidRDefault="00000000" w:rsidRPr="00000000" w14:paraId="00000017">
      <w:pPr>
        <w:numPr>
          <w:ilvl w:val="0"/>
          <w:numId w:val="30"/>
        </w:numPr>
        <w:pBdr>
          <w:top w:color="auto" w:space="0" w:sz="0" w:val="none"/>
          <w:bottom w:color="auto" w:space="0" w:sz="0" w:val="none"/>
          <w:right w:color="auto" w:space="0" w:sz="0" w:val="none"/>
          <w:between w:color="auto" w:space="0" w:sz="0" w:val="none"/>
        </w:pBdr>
        <w:ind w:left="1800" w:hanging="360"/>
        <w:rPr>
          <w:rFonts w:ascii="Arial" w:cs="Arial" w:eastAsia="Arial" w:hAnsi="Arial"/>
          <w:sz w:val="20"/>
          <w:szCs w:val="20"/>
        </w:rPr>
      </w:pPr>
      <w:r w:rsidDel="00000000" w:rsidR="00000000" w:rsidRPr="00000000">
        <w:rPr>
          <w:sz w:val="20"/>
          <w:szCs w:val="20"/>
          <w:rtl w:val="0"/>
        </w:rPr>
        <w:t xml:space="preserve">KEVIN</w:t>
      </w:r>
      <w:r w:rsidDel="00000000" w:rsidR="00000000" w:rsidRPr="00000000">
        <w:rPr>
          <w:sz w:val="20"/>
          <w:szCs w:val="20"/>
          <w:shd w:fill="c6c6c6" w:val="clear"/>
          <w:rtl w:val="0"/>
        </w:rPr>
        <w:t xml:space="preserve"> </w:t>
      </w:r>
    </w:p>
    <w:p w:rsidR="00000000" w:rsidDel="00000000" w:rsidP="00000000" w:rsidRDefault="00000000" w:rsidRPr="00000000" w14:paraId="00000018">
      <w:pPr>
        <w:numPr>
          <w:ilvl w:val="0"/>
          <w:numId w:val="51"/>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bCs w:val="1"/>
          <w:sz w:val="24"/>
          <w:szCs w:val="24"/>
          <w:rtl w:val="0"/>
        </w:rPr>
        <w:t xml:space="preserve">Link GitHub:</w:t>
      </w:r>
      <w:r w:rsidDel="00000000" w:rsidR="00000000" w:rsidRPr="00000000">
        <w:rPr>
          <w:sz w:val="24"/>
          <w:szCs w:val="24"/>
          <w:rtl w:val="0"/>
        </w:rPr>
        <w:t xml:space="preserve"> </w:t>
      </w:r>
      <w:hyperlink r:id="rId7">
        <w:r w:rsidDel="00000000" w:rsidR="00000000" w:rsidRPr="00000000">
          <w:rPr>
            <w:color w:val="467886"/>
            <w:sz w:val="24"/>
            <w:szCs w:val="24"/>
            <w:u w:val="single"/>
            <w:rtl w:val="0"/>
          </w:rPr>
          <w:t xml:space="preserve">https://github.com/Ecallado/PROJETO-APLICADO-1.git</w:t>
        </w:r>
      </w:hyperlink>
      <w:r w:rsidDel="00000000" w:rsidR="00000000" w:rsidRPr="00000000">
        <w:rPr>
          <w:sz w:val="24"/>
          <w:szCs w:val="24"/>
          <w:shd w:fill="c6c6c6" w:val="clear"/>
          <w:rtl w:val="0"/>
        </w:rPr>
        <w:t xml:space="preserve">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color w:val="0f4761"/>
          <w:sz w:val="32"/>
          <w:szCs w:val="32"/>
          <w:shd w:fill="c6c6c6" w:val="clear"/>
        </w:rPr>
      </w:pPr>
      <w:r w:rsidDel="00000000" w:rsidR="00000000" w:rsidRPr="00000000">
        <w:rPr>
          <w:sz w:val="24"/>
          <w:szCs w:val="24"/>
          <w:shd w:fill="c6c6c6" w:val="clear"/>
          <w:rtl w:val="0"/>
        </w:rPr>
        <w:t xml:space="preserve"> </w:t>
      </w: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100" w:lineRule="auto"/>
        <w:rPr>
          <w:b w:val="1"/>
          <w:bCs w:val="1"/>
          <w:sz w:val="30"/>
          <w:szCs w:val="30"/>
        </w:rPr>
      </w:pPr>
      <w:r w:rsidDel="00000000" w:rsidR="00000000" w:rsidRPr="00000000">
        <w:rPr>
          <w:color w:val="467886"/>
          <w:sz w:val="24"/>
          <w:szCs w:val="24"/>
          <w:u w:val="single"/>
          <w:rtl w:val="0"/>
        </w:rPr>
        <w:t xml:space="preserve">​</w:t>
      </w:r>
      <w:r w:rsidDel="00000000" w:rsidR="00000000" w:rsidRPr="00000000">
        <w:rPr>
          <w:b w:val="1"/>
          <w:bCs w:val="1"/>
          <w:color w:val="0f4761"/>
          <w:sz w:val="32"/>
          <w:szCs w:val="32"/>
          <w:rtl w:val="0"/>
        </w:rPr>
        <w:t xml:space="preserve">Sumário</w:t>
      </w: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Introdução</w:t>
      </w:r>
    </w:p>
    <w:p w:rsidR="00000000" w:rsidDel="00000000" w:rsidP="00000000" w:rsidRDefault="00000000" w:rsidRPr="00000000" w14:paraId="0000001C">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100" w:before="0" w:line="276" w:lineRule="auto"/>
        <w:ind w:left="0" w:right="0" w:firstLine="0"/>
        <w:rPr>
          <w:sz w:val="24"/>
          <w:szCs w:val="24"/>
        </w:rPr>
      </w:pPr>
      <w:r w:rsidDel="00000000" w:rsidR="00000000" w:rsidRPr="00000000">
        <w:rPr>
          <w:rtl w:val="0"/>
        </w:rPr>
      </w:r>
    </w:p>
    <w:p w:rsidR="00000000" w:rsidDel="00000000" w:rsidP="00000000" w:rsidRDefault="00000000" w:rsidRPr="00000000" w14:paraId="0000001D">
      <w:pPr>
        <w:numPr>
          <w:ilvl w:val="0"/>
          <w:numId w:val="23"/>
        </w:numPr>
        <w:ind w:left="720" w:hanging="360"/>
        <w:rPr>
          <w:rFonts w:ascii="Arial" w:cs="Arial" w:eastAsia="Arial" w:hAnsi="Arial"/>
          <w:b w:val="0"/>
          <w:bCs w:val="0"/>
          <w:i w:val="0"/>
          <w:iCs w:val="0"/>
          <w:smallCaps w:val="0"/>
          <w:strike w:val="0"/>
          <w:color w:val="000000"/>
          <w:sz w:val="26"/>
          <w:szCs w:val="26"/>
          <w:shd w:fill="c6c6c6" w:val="clear"/>
          <w:vertAlign w:val="baseline"/>
        </w:rPr>
      </w:pPr>
      <w:r w:rsidDel="00000000" w:rsidR="00000000" w:rsidRPr="00000000">
        <w:rPr>
          <w:sz w:val="24"/>
          <w:szCs w:val="24"/>
          <w:rtl w:val="0"/>
        </w:rPr>
        <w:t xml:space="preserve">Detalhamento da Empresa</w:t>
      </w:r>
    </w:p>
    <w:p w:rsidR="00000000" w:rsidDel="00000000" w:rsidP="00000000" w:rsidRDefault="00000000" w:rsidRPr="00000000" w14:paraId="0000001E">
      <w:pPr>
        <w:numPr>
          <w:ilvl w:val="0"/>
          <w:numId w:val="23"/>
        </w:numPr>
        <w:ind w:left="720" w:hanging="360"/>
        <w:rPr>
          <w:rFonts w:ascii="Arial" w:cs="Arial" w:eastAsia="Arial" w:hAnsi="Arial"/>
          <w:b w:val="0"/>
          <w:bCs w:val="0"/>
          <w:i w:val="0"/>
          <w:iCs w:val="0"/>
          <w:smallCaps w:val="0"/>
          <w:strike w:val="0"/>
          <w:color w:val="000000"/>
          <w:sz w:val="26"/>
          <w:szCs w:val="26"/>
          <w:shd w:fill="c6c6c6" w:val="clear"/>
          <w:vertAlign w:val="baseline"/>
        </w:rPr>
      </w:pPr>
      <w:r w:rsidDel="00000000" w:rsidR="00000000" w:rsidRPr="00000000">
        <w:rPr>
          <w:sz w:val="24"/>
          <w:szCs w:val="24"/>
          <w:rtl w:val="0"/>
        </w:rPr>
        <w:t xml:space="preserve">Contexto do Estudo</w:t>
      </w:r>
    </w:p>
    <w:p w:rsidR="00000000" w:rsidDel="00000000" w:rsidP="00000000" w:rsidRDefault="00000000" w:rsidRPr="00000000" w14:paraId="0000001F">
      <w:pPr>
        <w:numPr>
          <w:ilvl w:val="1"/>
          <w:numId w:val="23"/>
        </w:numPr>
        <w:ind w:left="1440" w:hanging="360"/>
        <w:rPr>
          <w:rFonts w:ascii="Arial" w:cs="Arial" w:eastAsia="Arial" w:hAnsi="Arial"/>
          <w:b w:val="0"/>
          <w:bCs w:val="0"/>
          <w:i w:val="0"/>
          <w:iCs w:val="0"/>
          <w:smallCaps w:val="0"/>
          <w:strike w:val="0"/>
          <w:color w:val="000000"/>
          <w:sz w:val="26"/>
          <w:szCs w:val="26"/>
          <w:shd w:fill="c6c6c6" w:val="clear"/>
          <w:vertAlign w:val="baseline"/>
        </w:rPr>
      </w:pPr>
      <w:r w:rsidDel="00000000" w:rsidR="00000000" w:rsidRPr="00000000">
        <w:rPr>
          <w:sz w:val="24"/>
          <w:szCs w:val="24"/>
          <w:rtl w:val="0"/>
        </w:rPr>
        <w:t xml:space="preserve">Premissas do projeto</w:t>
      </w:r>
    </w:p>
    <w:p w:rsidR="00000000" w:rsidDel="00000000" w:rsidP="00000000" w:rsidRDefault="00000000" w:rsidRPr="00000000" w14:paraId="00000020">
      <w:pPr>
        <w:numPr>
          <w:ilvl w:val="1"/>
          <w:numId w:val="23"/>
        </w:numPr>
        <w:ind w:left="1440" w:hanging="360"/>
        <w:rPr>
          <w:rFonts w:ascii="Arial" w:cs="Arial" w:eastAsia="Arial" w:hAnsi="Arial"/>
          <w:b w:val="0"/>
          <w:bCs w:val="0"/>
          <w:i w:val="0"/>
          <w:iCs w:val="0"/>
          <w:smallCaps w:val="0"/>
          <w:strike w:val="0"/>
          <w:color w:val="000000"/>
          <w:sz w:val="26"/>
          <w:szCs w:val="26"/>
          <w:shd w:fill="c6c6c6" w:val="clear"/>
          <w:vertAlign w:val="baseline"/>
        </w:rPr>
      </w:pPr>
      <w:r w:rsidDel="00000000" w:rsidR="00000000" w:rsidRPr="00000000">
        <w:rPr>
          <w:sz w:val="24"/>
          <w:szCs w:val="24"/>
          <w:rtl w:val="0"/>
        </w:rPr>
        <w:t xml:space="preserve">Objetivos e metas</w:t>
      </w:r>
    </w:p>
    <w:p w:rsidR="00000000" w:rsidDel="00000000" w:rsidP="00000000" w:rsidRDefault="00000000" w:rsidRPr="00000000" w14:paraId="00000021">
      <w:pPr>
        <w:numPr>
          <w:ilvl w:val="1"/>
          <w:numId w:val="23"/>
        </w:numPr>
        <w:ind w:left="1440" w:hanging="360"/>
        <w:rPr>
          <w:rFonts w:ascii="Arial" w:cs="Arial" w:eastAsia="Arial" w:hAnsi="Arial"/>
          <w:b w:val="0"/>
          <w:bCs w:val="0"/>
          <w:i w:val="0"/>
          <w:iCs w:val="0"/>
          <w:smallCaps w:val="0"/>
          <w:strike w:val="0"/>
          <w:color w:val="000000"/>
          <w:sz w:val="26"/>
          <w:szCs w:val="26"/>
          <w:shd w:fill="c6c6c6" w:val="clear"/>
          <w:vertAlign w:val="baseline"/>
        </w:rPr>
      </w:pPr>
      <w:r w:rsidDel="00000000" w:rsidR="00000000" w:rsidRPr="00000000">
        <w:rPr>
          <w:sz w:val="24"/>
          <w:szCs w:val="24"/>
          <w:rtl w:val="0"/>
        </w:rPr>
        <w:t xml:space="preserve">Pensamento computacional aplicado em contextos organizacionais</w:t>
      </w:r>
    </w:p>
    <w:p w:rsidR="00000000" w:rsidDel="00000000" w:rsidP="00000000" w:rsidRDefault="00000000" w:rsidRPr="00000000" w14:paraId="00000022">
      <w:pPr>
        <w:numPr>
          <w:ilvl w:val="0"/>
          <w:numId w:val="23"/>
        </w:numPr>
        <w:ind w:left="720" w:hanging="360"/>
        <w:rPr>
          <w:rFonts w:ascii="Arial" w:cs="Arial" w:eastAsia="Arial" w:hAnsi="Arial"/>
          <w:b w:val="0"/>
          <w:bCs w:val="0"/>
          <w:i w:val="0"/>
          <w:iCs w:val="0"/>
          <w:smallCaps w:val="0"/>
          <w:strike w:val="0"/>
          <w:color w:val="000000"/>
          <w:sz w:val="26"/>
          <w:szCs w:val="26"/>
          <w:shd w:fill="c6c6c6" w:val="clear"/>
          <w:vertAlign w:val="baseline"/>
        </w:rPr>
      </w:pPr>
      <w:r w:rsidDel="00000000" w:rsidR="00000000" w:rsidRPr="00000000">
        <w:rPr>
          <w:sz w:val="24"/>
          <w:szCs w:val="24"/>
          <w:rtl w:val="0"/>
        </w:rPr>
        <w:t xml:space="preserve">Apresentação dos Dados (Metadados)</w:t>
        <w:br w:type="textWrapping"/>
        <w:t xml:space="preserve">3.1 Referências de Aquisição do Dataset</w:t>
        <w:br w:type="textWrapping"/>
        <w:t xml:space="preserve">3.2 Descrição da Origem</w:t>
        <w:br w:type="textWrapping"/>
        <w:t xml:space="preserve">3.3 Descrição do Dataset</w:t>
        <w:br w:type="textWrapping"/>
        <w:t xml:space="preserve">- Proposta</w:t>
        <w:br w:type="textWrapping"/>
        <w:t xml:space="preserve">- Problemas ou fenômenos registrados</w:t>
      </w:r>
    </w:p>
    <w:p w:rsidR="00000000" w:rsidDel="00000000" w:rsidP="00000000" w:rsidRDefault="00000000" w:rsidRPr="00000000" w14:paraId="00000023">
      <w:pPr>
        <w:numPr>
          <w:ilvl w:val="0"/>
          <w:numId w:val="23"/>
        </w:numPr>
        <w:ind w:left="720" w:hanging="360"/>
        <w:rPr>
          <w:rFonts w:ascii="Arial" w:cs="Arial" w:eastAsia="Arial" w:hAnsi="Arial"/>
          <w:b w:val="0"/>
          <w:bCs w:val="0"/>
          <w:i w:val="0"/>
          <w:iCs w:val="0"/>
          <w:smallCaps w:val="0"/>
          <w:strike w:val="0"/>
          <w:color w:val="000000"/>
          <w:sz w:val="26"/>
          <w:szCs w:val="26"/>
          <w:shd w:fill="c6c6c6" w:val="clear"/>
          <w:vertAlign w:val="baseline"/>
        </w:rPr>
      </w:pPr>
      <w:r w:rsidDel="00000000" w:rsidR="00000000" w:rsidRPr="00000000">
        <w:rPr>
          <w:sz w:val="24"/>
          <w:szCs w:val="24"/>
          <w:rtl w:val="0"/>
        </w:rPr>
        <w:t xml:space="preserve">Cronograma de Atividades</w:t>
      </w:r>
    </w:p>
    <w:p w:rsidR="00000000" w:rsidDel="00000000" w:rsidP="00000000" w:rsidRDefault="00000000" w:rsidRPr="00000000" w14:paraId="00000024">
      <w:pPr>
        <w:numPr>
          <w:ilvl w:val="0"/>
          <w:numId w:val="23"/>
        </w:numPr>
        <w:ind w:left="720" w:hanging="360"/>
        <w:rPr>
          <w:rFonts w:ascii="Arial" w:cs="Arial" w:eastAsia="Arial" w:hAnsi="Arial"/>
          <w:b w:val="0"/>
          <w:bCs w:val="0"/>
          <w:i w:val="0"/>
          <w:iCs w:val="0"/>
          <w:smallCaps w:val="0"/>
          <w:strike w:val="0"/>
          <w:color w:val="000000"/>
          <w:sz w:val="26"/>
          <w:szCs w:val="26"/>
          <w:shd w:fill="c6c6c6" w:val="clear"/>
          <w:vertAlign w:val="baseline"/>
        </w:rPr>
      </w:pPr>
      <w:r w:rsidDel="00000000" w:rsidR="00000000" w:rsidRPr="00000000">
        <w:rPr>
          <w:sz w:val="24"/>
          <w:szCs w:val="24"/>
          <w:rtl w:val="0"/>
        </w:rPr>
        <w:t xml:space="preserve">Referências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c6c6c6" w:val="clear"/>
        </w:rPr>
      </w:pP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color w:val="0f4761"/>
          <w:sz w:val="32"/>
          <w:szCs w:val="32"/>
          <w:shd w:fill="c6c6c6" w:val="clear"/>
        </w:rPr>
      </w:pP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color w:val="0f4761"/>
          <w:sz w:val="32"/>
          <w:szCs w:val="32"/>
          <w:rtl w:val="0"/>
        </w:rPr>
        <w:t xml:space="preserve">Lista de tabelas</w:t>
      </w:r>
      <w:r w:rsidDel="00000000" w:rsidR="00000000" w:rsidRPr="00000000">
        <w:rPr>
          <w:rtl w:val="0"/>
        </w:rPr>
      </w:r>
    </w:p>
    <w:p w:rsidR="00000000" w:rsidDel="00000000" w:rsidP="00000000" w:rsidRDefault="00000000" w:rsidRPr="00000000" w14:paraId="00000028">
      <w:pPr>
        <w:rPr>
          <w:sz w:val="24"/>
          <w:szCs w:val="24"/>
          <w:shd w:fill="c6c6c6" w:val="clear"/>
        </w:rPr>
      </w:pPr>
      <w:r w:rsidDel="00000000" w:rsidR="00000000" w:rsidRPr="00000000">
        <w:rPr>
          <w:rtl w:val="0"/>
        </w:rPr>
        <w:t xml:space="preserve">Tabela 1 – Descrição dos dados</w:t>
        <w:br w:type="textWrapping"/>
        <w:t xml:space="preserve">Tabela 2 – Segmentos das instituições financeiras</w:t>
      </w: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rtl w:val="0"/>
        </w:rPr>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color w:val="0f4761"/>
          <w:sz w:val="40"/>
          <w:szCs w:val="40"/>
          <w:shd w:fill="c6c6c6" w:val="clear"/>
        </w:rPr>
      </w:pPr>
      <w:r w:rsidDel="00000000" w:rsidR="00000000" w:rsidRPr="00000000">
        <w:rPr>
          <w:sz w:val="24"/>
          <w:szCs w:val="24"/>
          <w:shd w:fill="c6c6c6" w:val="clear"/>
          <w:rtl w:val="0"/>
        </w:rPr>
        <w:t xml:space="preserve"> </w:t>
      </w:r>
      <w:r w:rsidDel="00000000" w:rsidR="00000000" w:rsidRPr="00000000">
        <w:rPr>
          <w:color w:val="0f4761"/>
          <w:sz w:val="40"/>
          <w:szCs w:val="40"/>
          <w:rtl w:val="0"/>
        </w:rPr>
        <w:t xml:space="preserve">Introdução </w:t>
      </w:r>
      <w:r w:rsidDel="00000000" w:rsidR="00000000" w:rsidRPr="00000000">
        <w:rPr>
          <w:color w:val="0f4761"/>
          <w:sz w:val="40"/>
          <w:szCs w:val="40"/>
          <w:shd w:fill="c6c6c6" w:val="clear"/>
          <w:rtl w:val="0"/>
        </w:rPr>
        <w:t xml:space="preserve">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firstLine="700"/>
        <w:rPr>
          <w:sz w:val="24"/>
          <w:szCs w:val="24"/>
          <w:shd w:fill="c6c6c6" w:val="clear"/>
        </w:rPr>
      </w:pPr>
      <w:r w:rsidDel="00000000" w:rsidR="00000000" w:rsidRPr="00000000">
        <w:rPr>
          <w:sz w:val="24"/>
          <w:szCs w:val="24"/>
          <w:rtl w:val="0"/>
        </w:rPr>
        <w:t xml:space="preserve">Este trabalho tem como objetivo analisar dados do Sistema de Informações de Créditos (SCR), disponibilizados pelo Banco Central do Brasil, a fim de compreender o comportamento do crédito no país e sua relação com a estabilidade econômica e o desenvolvimento financeiro. A partir de uma base de dados aberta, estruturada e de caráter agregador, busca-se explorar informações relevantes sobre operações de crédito, perfil dos clientes e níveis de inadimplência.</w:t>
      </w:r>
      <w:r w:rsidDel="00000000" w:rsidR="00000000" w:rsidRPr="00000000">
        <w:rPr>
          <w:sz w:val="24"/>
          <w:szCs w:val="24"/>
          <w:shd w:fill="c6c6c6" w:val="clear"/>
          <w:rtl w:val="0"/>
        </w:rPr>
        <w:t xml:space="preserve">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firstLine="360"/>
        <w:rPr>
          <w:sz w:val="24"/>
          <w:szCs w:val="24"/>
          <w:shd w:fill="c6c6c6" w:val="clear"/>
        </w:rPr>
      </w:pPr>
      <w:r w:rsidDel="00000000" w:rsidR="00000000" w:rsidRPr="00000000">
        <w:rPr>
          <w:sz w:val="24"/>
          <w:szCs w:val="24"/>
          <w:rtl w:val="0"/>
        </w:rPr>
        <w:t xml:space="preserve">Além disso, o estudo se insere em um contexto mais amplo, conectando-se a temas como crescimento econômico, inovação no sistema financeiro e redução das desigualdades, em consonância com os Objetivos de Desenvolvimento Sustentável (ODS). Dessa forma, a análise proposta contribui para uma melhor compreensão do papel do crédito na economia brasileira, utilizando conceitos de pensamento computacional e análise de dados aplicados ao contexto organizacional.</w:t>
      </w:r>
      <w:r w:rsidDel="00000000" w:rsidR="00000000" w:rsidRPr="00000000">
        <w:rPr>
          <w:sz w:val="24"/>
          <w:szCs w:val="24"/>
          <w:shd w:fill="c6c6c6" w:val="clear"/>
          <w:rtl w:val="0"/>
        </w:rPr>
        <w:t xml:space="preserve"> </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3A">
      <w:pPr>
        <w:numPr>
          <w:ilvl w:val="0"/>
          <w:numId w:val="59"/>
        </w:numPr>
        <w:pBdr>
          <w:top w:color="auto" w:space="0" w:sz="0" w:val="none"/>
          <w:bottom w:color="auto" w:space="0" w:sz="0" w:val="none"/>
          <w:right w:color="auto" w:space="0" w:sz="0" w:val="none"/>
          <w:between w:color="auto" w:space="0" w:sz="0" w:val="none"/>
        </w:pBdr>
        <w:ind w:left="720" w:hanging="360"/>
        <w:rPr>
          <w:sz w:val="32"/>
          <w:szCs w:val="32"/>
        </w:rPr>
      </w:pPr>
      <w:r w:rsidDel="00000000" w:rsidR="00000000" w:rsidRPr="00000000">
        <w:rPr>
          <w:color w:val="0f4761"/>
          <w:sz w:val="32"/>
          <w:szCs w:val="32"/>
          <w:rtl w:val="0"/>
        </w:rPr>
        <w:t xml:space="preserve">Detalhamento da Empresa</w:t>
      </w:r>
      <w:r w:rsidDel="00000000" w:rsidR="00000000" w:rsidRPr="00000000">
        <w:rPr>
          <w:color w:val="0f4761"/>
          <w:sz w:val="32"/>
          <w:szCs w:val="32"/>
          <w:shd w:fill="c6c6c6" w:val="clear"/>
          <w:rtl w:val="0"/>
        </w:rPr>
        <w:t xml:space="preserve">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firstLine="700"/>
        <w:rPr>
          <w:sz w:val="24"/>
          <w:szCs w:val="24"/>
          <w:shd w:fill="c6c6c6" w:val="clear"/>
        </w:rPr>
      </w:pPr>
      <w:r w:rsidDel="00000000" w:rsidR="00000000" w:rsidRPr="00000000">
        <w:rPr>
          <w:sz w:val="24"/>
          <w:szCs w:val="24"/>
          <w:rtl w:val="0"/>
        </w:rPr>
        <w:t xml:space="preserve">O Banco Central atua como Autoridade Monetária, tendo como principais funções formular e executar a política monetária, com foco no controle da inflação, emitir papel-moeda, fiscalizar o sistema financeiro nacional, incluindo bancos, cooperativas e fintechs, e gerenciar o sistema de pagamentos, como o Pix. Seus clientes diretos são todas as instituições financeiras autorizadas a funcionar no Brasil, o que inclui milhares de bancos, cooperativas e administradoras de consórcio. Já como clientes indiretos, atende toda a população brasileira, por meio de serviços e sistemas como o gerenciamento de chaves Pix, a gestão de contas e o sistema de “Valores a Receber”.</w:t>
      </w:r>
      <w:r w:rsidDel="00000000" w:rsidR="00000000" w:rsidRPr="00000000">
        <w:rPr>
          <w:sz w:val="24"/>
          <w:szCs w:val="24"/>
          <w:shd w:fill="c6c6c6" w:val="clear"/>
          <w:rtl w:val="0"/>
        </w:rPr>
        <w:t xml:space="preserve">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firstLine="700"/>
        <w:rPr>
          <w:sz w:val="24"/>
          <w:szCs w:val="24"/>
          <w:shd w:fill="c6c6c6" w:val="clear"/>
        </w:rPr>
      </w:pPr>
      <w:r w:rsidDel="00000000" w:rsidR="00000000" w:rsidRPr="00000000">
        <w:rPr>
          <w:sz w:val="24"/>
          <w:szCs w:val="24"/>
          <w:rtl w:val="0"/>
        </w:rPr>
        <w:t xml:space="preserve">Sua abrangência geográfica é nacional, com sede em Brasília e representações regionais distribuídas em capitais de todo o país. Em relação ao faturamento, o Banco Central não possui fins lucrativos, ou seja, não tem faturamento comercial. Ele opera com um orçamento próprio definido pelo Governo Federal, destinado ao custeio de suas atividades e investimentos. Além disso, é responsável pela gestão das reservas internacionais do Brasil, que somam centenas de bilhões de dólares.</w:t>
      </w:r>
      <w:r w:rsidDel="00000000" w:rsidR="00000000" w:rsidRPr="00000000">
        <w:rPr>
          <w:sz w:val="24"/>
          <w:szCs w:val="24"/>
          <w:shd w:fill="c6c6c6" w:val="clear"/>
          <w:rtl w:val="0"/>
        </w:rPr>
        <w:t xml:space="preserve">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firstLine="700"/>
        <w:rPr>
          <w:sz w:val="24"/>
          <w:szCs w:val="24"/>
          <w:shd w:fill="c6c6c6" w:val="clear"/>
        </w:rPr>
      </w:pPr>
      <w:r w:rsidDel="00000000" w:rsidR="00000000" w:rsidRPr="00000000">
        <w:rPr>
          <w:sz w:val="24"/>
          <w:szCs w:val="24"/>
          <w:rtl w:val="0"/>
        </w:rPr>
        <w:t xml:space="preserve">Nesse contexto, o Banco Central do Brasil (BCB), por meio de iniciativas como o dataset SCR.data (Sistema de Informações de Créditos), apresenta uma conexão direta com importantes Objetivos de Desenvolvimento Sustentável (ODS) estabelecidos pela Organização das Nações Unidas.</w:t>
      </w:r>
      <w:r w:rsidDel="00000000" w:rsidR="00000000" w:rsidRPr="00000000">
        <w:rPr>
          <w:sz w:val="24"/>
          <w:szCs w:val="24"/>
          <w:shd w:fill="c6c6c6" w:val="clear"/>
          <w:rtl w:val="0"/>
        </w:rPr>
        <w:t xml:space="preserve"> </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firstLine="700"/>
        <w:rPr>
          <w:sz w:val="24"/>
          <w:szCs w:val="24"/>
          <w:shd w:fill="c6c6c6" w:val="clear"/>
        </w:rPr>
      </w:pPr>
      <w:r w:rsidDel="00000000" w:rsidR="00000000" w:rsidRPr="00000000">
        <w:rPr>
          <w:sz w:val="24"/>
          <w:szCs w:val="24"/>
          <w:rtl w:val="0"/>
        </w:rPr>
        <w:t xml:space="preserve">Em primeiro lugar, destaca-se o ODS 8 – Trabalho Decente e Crescimento Econômico, que está diretamente alinhado à atuação central do BCB. A instituição é responsável por manter a estabilidade do poder de compra da moeda e promover a eficiência do sistema financeiro, contribuindo para um ambiente econômico mais estável e propício ao crescimento sustentável.</w:t>
      </w:r>
      <w:r w:rsidDel="00000000" w:rsidR="00000000" w:rsidRPr="00000000">
        <w:rPr>
          <w:sz w:val="24"/>
          <w:szCs w:val="24"/>
          <w:shd w:fill="c6c6c6" w:val="clear"/>
          <w:rtl w:val="0"/>
        </w:rPr>
        <w:t xml:space="preserve"> </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firstLine="700"/>
        <w:rPr>
          <w:sz w:val="24"/>
          <w:szCs w:val="24"/>
          <w:shd w:fill="c6c6c6" w:val="clear"/>
        </w:rPr>
      </w:pPr>
      <w:r w:rsidDel="00000000" w:rsidR="00000000" w:rsidRPr="00000000">
        <w:rPr>
          <w:sz w:val="24"/>
          <w:szCs w:val="24"/>
          <w:rtl w:val="0"/>
        </w:rPr>
        <w:t xml:space="preserve">Além disso, o BCB também se relaciona com o ODS 9 – Indústria, Inovação e Infraestrutura, especialmente no que diz respeito à modernização e ampliação do acesso aos serviços financeiros. Iniciativas como o Pix e o Open Finance evidenciam o papel do Banco Central como impulsionador da inovação tecnológica no setor financeiro brasileiro.</w:t>
      </w:r>
      <w:r w:rsidDel="00000000" w:rsidR="00000000" w:rsidRPr="00000000">
        <w:rPr>
          <w:sz w:val="24"/>
          <w:szCs w:val="24"/>
          <w:shd w:fill="c6c6c6" w:val="clear"/>
          <w:rtl w:val="0"/>
        </w:rPr>
        <w:t xml:space="preserve"> </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firstLine="700"/>
        <w:rPr>
          <w:sz w:val="24"/>
          <w:szCs w:val="24"/>
          <w:shd w:fill="c6c6c6" w:val="clear"/>
        </w:rPr>
      </w:pPr>
      <w:r w:rsidDel="00000000" w:rsidR="00000000" w:rsidRPr="00000000">
        <w:rPr>
          <w:sz w:val="24"/>
          <w:szCs w:val="24"/>
          <w:rtl w:val="0"/>
        </w:rPr>
        <w:t xml:space="preserve">Por fim, há uma conexão relevante com o ODS 10 – Redução das Desigualdades, considerando o foco da instituição na promoção da inclusão financeira e no acesso mais amplo da população aos serviços bancários. Nesse contexto, a Agenda BC#, baseada em pilares como inclusão, competitividade, transparência, educação e sustentabilidade, reforça o compromisso do Banco Central com a redução das desigualdades no país.</w:t>
      </w:r>
      <w:r w:rsidDel="00000000" w:rsidR="00000000" w:rsidRPr="00000000">
        <w:rPr>
          <w:sz w:val="24"/>
          <w:szCs w:val="24"/>
          <w:shd w:fill="c6c6c6" w:val="clear"/>
          <w:rtl w:val="0"/>
        </w:rPr>
        <w:t xml:space="preserve"> </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firstLine="700"/>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color w:val="0f4761"/>
          <w:sz w:val="32"/>
          <w:szCs w:val="32"/>
          <w:shd w:fill="c6c6c6" w:val="clear"/>
        </w:rPr>
      </w:pPr>
      <w:r w:rsidDel="00000000" w:rsidR="00000000" w:rsidRPr="00000000">
        <w:rPr>
          <w:color w:val="0f4761"/>
          <w:sz w:val="32"/>
          <w:szCs w:val="32"/>
          <w:rtl w:val="0"/>
        </w:rPr>
        <w:t xml:space="preserve">2. Contexto do Estudo</w:t>
      </w:r>
      <w:r w:rsidDel="00000000" w:rsidR="00000000" w:rsidRPr="00000000">
        <w:rPr>
          <w:color w:val="0f4761"/>
          <w:sz w:val="32"/>
          <w:szCs w:val="32"/>
          <w:shd w:fill="c6c6c6" w:val="clear"/>
          <w:rtl w:val="0"/>
        </w:rPr>
        <w:t xml:space="preserve"> </w:t>
      </w:r>
    </w:p>
    <w:p w:rsidR="00000000" w:rsidDel="00000000" w:rsidP="00000000" w:rsidRDefault="00000000" w:rsidRPr="00000000" w14:paraId="00000043">
      <w:pPr>
        <w:numPr>
          <w:ilvl w:val="0"/>
          <w:numId w:val="10"/>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bCs w:val="1"/>
          <w:sz w:val="24"/>
          <w:szCs w:val="24"/>
          <w:rtl w:val="0"/>
        </w:rPr>
        <w:t xml:space="preserve">Premissas do projeto: </w:t>
      </w:r>
      <w:r w:rsidDel="00000000" w:rsidR="00000000" w:rsidRPr="00000000">
        <w:rPr>
          <w:sz w:val="24"/>
          <w:szCs w:val="24"/>
          <w:rtl w:val="0"/>
        </w:rPr>
        <w:t xml:space="preserve">Este projeto parte da premissa de que os dados públicos disponibilizados pelo Banco Central do Brasil, por meio do SCR.data, são suficientes para apoiar uma análise inicial sobre o comportamento do crédito no país. Também se considera que a base escolhida possui relevância social e econômica, pois permite observar informações ligadas à concessão de crédito, inadimplência e perfil das operações. Outra premissa é que os dados disponíveis são agregados e públicos, o que viabiliza o uso acadêmico sem expor informações individuais.</w:t>
      </w:r>
      <w:r w:rsidDel="00000000" w:rsidR="00000000" w:rsidRPr="00000000">
        <w:rPr>
          <w:sz w:val="24"/>
          <w:szCs w:val="24"/>
          <w:shd w:fill="c6c6c6" w:val="clear"/>
          <w:rtl w:val="0"/>
        </w:rPr>
        <w:t xml:space="preserve"> </w:t>
      </w:r>
    </w:p>
    <w:p w:rsidR="00000000" w:rsidDel="00000000" w:rsidP="00000000" w:rsidRDefault="00000000" w:rsidRPr="00000000" w14:paraId="00000044">
      <w:pPr>
        <w:numPr>
          <w:ilvl w:val="0"/>
          <w:numId w:val="47"/>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bCs w:val="1"/>
          <w:sz w:val="24"/>
          <w:szCs w:val="24"/>
          <w:rtl w:val="0"/>
        </w:rPr>
        <w:t xml:space="preserve">Objetivos e metas: </w:t>
      </w:r>
      <w:r w:rsidDel="00000000" w:rsidR="00000000" w:rsidRPr="00000000">
        <w:rPr>
          <w:sz w:val="24"/>
          <w:szCs w:val="24"/>
          <w:rtl w:val="0"/>
        </w:rPr>
        <w:t xml:space="preserve">O objetivo do projeto é desenvolver um estudo prático a partir dos dados públicos do Banco Central do Brasil, realizando uma análise exploratória da base escolhida e propondo uma aplicação analítica para geração de insights. Como metas, o grupo pretende organizar e compreender a base de dados, identificar os principais atributos e metadados, observar padrões e tendências relevantes e, ao final, apresentar uma proposta analítica que ajude a interpretar melhor o cenário estudado.</w:t>
      </w:r>
      <w:r w:rsidDel="00000000" w:rsidR="00000000" w:rsidRPr="00000000">
        <w:rPr>
          <w:sz w:val="24"/>
          <w:szCs w:val="24"/>
          <w:shd w:fill="c6c6c6" w:val="clear"/>
          <w:rtl w:val="0"/>
        </w:rPr>
        <w:t xml:space="preserve"> </w:t>
      </w:r>
    </w:p>
    <w:p w:rsidR="00000000" w:rsidDel="00000000" w:rsidP="00000000" w:rsidRDefault="00000000" w:rsidRPr="00000000" w14:paraId="00000045">
      <w:pPr>
        <w:numPr>
          <w:ilvl w:val="0"/>
          <w:numId w:val="24"/>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bCs w:val="1"/>
          <w:sz w:val="24"/>
          <w:szCs w:val="24"/>
          <w:rtl w:val="0"/>
        </w:rPr>
        <w:t xml:space="preserve">Pensamento computacional aplicado em contextos organizacionais: </w:t>
      </w:r>
      <w:r w:rsidDel="00000000" w:rsidR="00000000" w:rsidRPr="00000000">
        <w:rPr>
          <w:sz w:val="24"/>
          <w:szCs w:val="24"/>
          <w:rtl w:val="0"/>
        </w:rPr>
        <w:t xml:space="preserve">O pensamento computacional aparece neste projeto na forma de organização lógica do problema, decomposição das etapas e análise estruturada dos dados. Primeiro, o grupo identifica o contexto organizacional e define qual problema deseja observar. Depois, separa o problema em partes menores, como coleta, entendimento dos metadados, organização da base e análise exploratória. A partir disso, busca padrões, compara informações e estrutura uma proposta analítica. Em um contexto organizacional, esse tipo de abordagem ajuda na tomada de decisão, porque permite transformar dados brutos em informação útil.</w:t>
      </w:r>
      <w:r w:rsidDel="00000000" w:rsidR="00000000" w:rsidRPr="00000000">
        <w:rPr>
          <w:sz w:val="24"/>
          <w:szCs w:val="24"/>
          <w:shd w:fill="c6c6c6" w:val="clear"/>
          <w:rtl w:val="0"/>
        </w:rPr>
        <w:t xml:space="preserve"> </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360" w:firstLine="0"/>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color w:val="0f4761"/>
          <w:sz w:val="32"/>
          <w:szCs w:val="32"/>
          <w:shd w:fill="c6c6c6" w:val="clear"/>
        </w:rPr>
      </w:pPr>
      <w:r w:rsidDel="00000000" w:rsidR="00000000" w:rsidRPr="00000000">
        <w:rPr>
          <w:color w:val="0f4761"/>
          <w:sz w:val="32"/>
          <w:szCs w:val="32"/>
          <w:rtl w:val="0"/>
        </w:rPr>
        <w:t xml:space="preserve">3. Apresentação dos Dados (Metadados)</w:t>
      </w:r>
      <w:r w:rsidDel="00000000" w:rsidR="00000000" w:rsidRPr="00000000">
        <w:rPr>
          <w:color w:val="0f4761"/>
          <w:sz w:val="32"/>
          <w:szCs w:val="32"/>
          <w:shd w:fill="c6c6c6" w:val="clear"/>
          <w:rtl w:val="0"/>
        </w:rPr>
        <w:t xml:space="preserve"> </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color w:val="0f4761"/>
          <w:sz w:val="28"/>
          <w:szCs w:val="28"/>
          <w:shd w:fill="c6c6c6" w:val="clear"/>
        </w:rPr>
      </w:pPr>
      <w:r w:rsidDel="00000000" w:rsidR="00000000" w:rsidRPr="00000000">
        <w:rPr>
          <w:color w:val="0f4761"/>
          <w:sz w:val="28"/>
          <w:szCs w:val="28"/>
          <w:rtl w:val="0"/>
        </w:rPr>
        <w:t xml:space="preserve">3.1 Referências de Aquisição do Dataset</w:t>
      </w:r>
      <w:r w:rsidDel="00000000" w:rsidR="00000000" w:rsidRPr="00000000">
        <w:rPr>
          <w:color w:val="0f4761"/>
          <w:sz w:val="28"/>
          <w:szCs w:val="28"/>
          <w:shd w:fill="c6c6c6" w:val="clear"/>
          <w:rtl w:val="0"/>
        </w:rPr>
        <w:t xml:space="preserve">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firstLine="360"/>
        <w:rPr>
          <w:sz w:val="24"/>
          <w:szCs w:val="24"/>
          <w:shd w:fill="c6c6c6" w:val="clear"/>
        </w:rPr>
      </w:pPr>
      <w:r w:rsidDel="00000000" w:rsidR="00000000" w:rsidRPr="00000000">
        <w:rPr>
          <w:sz w:val="24"/>
          <w:szCs w:val="24"/>
          <w:rtl w:val="0"/>
        </w:rPr>
        <w:t xml:space="preserve">Os dados utilizados neste trabalho têm origem em bases mantidas pelo Banco Central do Brasil, sendo disponibilizados desde que não estejam sujeitos a restrições de acesso. Além disso, incluem informações do Sistema Financeiro Nacional, compostas por dados de interesse público não protegidos por sigilo. Esses dados são fornecidos em formato aberto por instituições financeiras e demais instituições autorizadas a funcionar pelo Banco Central, com o objetivo de promover maior competitividade, transparência e inovação no setor financeiro. Dessa forma, garantem acesso público a informações relevantes, possibilitando sua utilização em análises acadêmicas e estudos econômicos.</w:t>
      </w:r>
      <w:r w:rsidDel="00000000" w:rsidR="00000000" w:rsidRPr="00000000">
        <w:rPr>
          <w:sz w:val="24"/>
          <w:szCs w:val="24"/>
          <w:shd w:fill="c6c6c6" w:val="clear"/>
          <w:rtl w:val="0"/>
        </w:rPr>
        <w:t xml:space="preserve"> </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firstLine="360"/>
        <w:rPr>
          <w:sz w:val="24"/>
          <w:szCs w:val="24"/>
          <w:shd w:fill="c6c6c6" w:val="clear"/>
        </w:rPr>
      </w:pPr>
      <w:r w:rsidDel="00000000" w:rsidR="00000000" w:rsidRPr="00000000">
        <w:rPr>
          <w:sz w:val="24"/>
          <w:szCs w:val="24"/>
          <w:rtl w:val="0"/>
        </w:rPr>
        <w:t xml:space="preserve">No que diz respeito às limitações de uso, os dados são apresentados de forma agregada, sem identificação individual, em conformidade com as normas de sigilo bancário. Seu uso é permitido para fins acadêmicos, desde que seja respeitada a correta interpretação metodológica e realizada a devida citação da fonte.</w:t>
      </w:r>
      <w:r w:rsidDel="00000000" w:rsidR="00000000" w:rsidRPr="00000000">
        <w:rPr>
          <w:sz w:val="24"/>
          <w:szCs w:val="24"/>
          <w:shd w:fill="c6c6c6" w:val="clear"/>
          <w:rtl w:val="0"/>
        </w:rPr>
        <w:t xml:space="preserve"> </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firstLine="360"/>
        <w:rPr>
          <w:sz w:val="24"/>
          <w:szCs w:val="24"/>
          <w:shd w:fill="c6c6c6" w:val="clear"/>
        </w:rPr>
      </w:pPr>
      <w:r w:rsidDel="00000000" w:rsidR="00000000" w:rsidRPr="00000000">
        <w:rPr>
          <w:sz w:val="24"/>
          <w:szCs w:val="24"/>
          <w:rtl w:val="0"/>
        </w:rPr>
        <w:t xml:space="preserve">Por fim, os dados analisados referem-se ao período de janeiro de 2025 a novembro de 2025. A atualização do dataset ocorre mensalmente, sempre no último dia útil do mês, sendo os dados disponibilizados com uma defasagem de aproximadamente 30 dias em relação ao período de referência.</w:t>
      </w:r>
      <w:r w:rsidDel="00000000" w:rsidR="00000000" w:rsidRPr="00000000">
        <w:rPr>
          <w:sz w:val="24"/>
          <w:szCs w:val="24"/>
          <w:shd w:fill="c6c6c6" w:val="clear"/>
          <w:rtl w:val="0"/>
        </w:rPr>
        <w:t xml:space="preserve"> </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firstLine="360"/>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color w:val="0f4761"/>
          <w:sz w:val="28"/>
          <w:szCs w:val="28"/>
          <w:shd w:fill="c6c6c6" w:val="clear"/>
        </w:rPr>
      </w:pPr>
      <w:r w:rsidDel="00000000" w:rsidR="00000000" w:rsidRPr="00000000">
        <w:rPr>
          <w:color w:val="0f4761"/>
          <w:sz w:val="28"/>
          <w:szCs w:val="28"/>
          <w:rtl w:val="0"/>
        </w:rPr>
        <w:t xml:space="preserve">3.2 Descrição da Origem</w:t>
      </w:r>
      <w:r w:rsidDel="00000000" w:rsidR="00000000" w:rsidRPr="00000000">
        <w:rPr>
          <w:color w:val="0f4761"/>
          <w:sz w:val="28"/>
          <w:szCs w:val="28"/>
          <w:shd w:fill="c6c6c6" w:val="clear"/>
          <w:rtl w:val="0"/>
        </w:rPr>
        <w:t xml:space="preserve"> </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firstLine="700"/>
        <w:rPr>
          <w:sz w:val="24"/>
          <w:szCs w:val="24"/>
          <w:shd w:fill="c6c6c6" w:val="clear"/>
        </w:rPr>
      </w:pPr>
      <w:r w:rsidDel="00000000" w:rsidR="00000000" w:rsidRPr="00000000">
        <w:rPr>
          <w:sz w:val="24"/>
          <w:szCs w:val="24"/>
          <w:rtl w:val="0"/>
        </w:rPr>
        <w:t xml:space="preserve">O monitoramento do crédito por meio do Sistema de Informações de Créditos (SCR) contribui para a segurança e estabilidade do sistema financeiro, permitindo ao Banco Central do Brasil identificar riscos de inadimplência e superendividamento e, assim, atuar de forma preventiva na proteção da economia e na continuidade do fluxo de crédito.</w:t>
      </w:r>
      <w:r w:rsidDel="00000000" w:rsidR="00000000" w:rsidRPr="00000000">
        <w:rPr>
          <w:sz w:val="24"/>
          <w:szCs w:val="24"/>
          <w:shd w:fill="c6c6c6" w:val="clear"/>
          <w:rtl w:val="0"/>
        </w:rPr>
        <w:t xml:space="preserve"> </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firstLine="700"/>
        <w:rPr>
          <w:sz w:val="24"/>
          <w:szCs w:val="24"/>
          <w:shd w:fill="c6c6c6" w:val="clear"/>
        </w:rPr>
      </w:pPr>
      <w:r w:rsidDel="00000000" w:rsidR="00000000" w:rsidRPr="00000000">
        <w:rPr>
          <w:sz w:val="24"/>
          <w:szCs w:val="24"/>
          <w:rtl w:val="0"/>
        </w:rPr>
        <w:t xml:space="preserve">Os dados utilizados são provenientes de bases mantidas pelo Banco Central, sendo disponibilizados desde que não estejam sujeitos a restrições de acesso. Também inclui informações do Sistema Financeiro Nacional, compostas por dados de interesse público não protegidos por sigilo, fornecidos em formato aberto por instituições financeiras e demais instituições autorizadas a funcionar pelo Banco Central.</w:t>
      </w:r>
      <w:r w:rsidDel="00000000" w:rsidR="00000000" w:rsidRPr="00000000">
        <w:rPr>
          <w:sz w:val="24"/>
          <w:szCs w:val="24"/>
          <w:shd w:fill="c6c6c6" w:val="clear"/>
          <w:rtl w:val="0"/>
        </w:rPr>
        <w:t xml:space="preserve"> </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firstLine="700"/>
        <w:rPr>
          <w:sz w:val="24"/>
          <w:szCs w:val="24"/>
          <w:shd w:fill="c6c6c6" w:val="clear"/>
        </w:rPr>
      </w:pPr>
      <w:r w:rsidDel="00000000" w:rsidR="00000000" w:rsidRPr="00000000">
        <w:rPr>
          <w:sz w:val="24"/>
          <w:szCs w:val="24"/>
          <w:rtl w:val="0"/>
        </w:rPr>
        <w:t xml:space="preserve">Além disso, a organização e disponibilização desses dados de forma estruturada e transparente favorecem a inovação no setor financeiro, estimulando o desenvolvimento de novos modelos de análise de risco e o surgimento de fintechs, o que contribui para a modernização da infraestrutura financeira. Esses dados também auxiliam na formulação de políticas voltadas à educação financeira e à redução do endividamento, promovendo maior inclusão e acesso ao crédito.</w:t>
      </w:r>
      <w:r w:rsidDel="00000000" w:rsidR="00000000" w:rsidRPr="00000000">
        <w:rPr>
          <w:sz w:val="24"/>
          <w:szCs w:val="24"/>
          <w:shd w:fill="c6c6c6" w:val="clear"/>
          <w:rtl w:val="0"/>
        </w:rPr>
        <w:t xml:space="preserve"> </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firstLine="700"/>
        <w:rPr>
          <w:sz w:val="24"/>
          <w:szCs w:val="24"/>
          <w:shd w:fill="c6c6c6" w:val="clear"/>
        </w:rPr>
      </w:pPr>
      <w:r w:rsidDel="00000000" w:rsidR="00000000" w:rsidRPr="00000000">
        <w:rPr>
          <w:sz w:val="24"/>
          <w:szCs w:val="24"/>
          <w:rtl w:val="0"/>
        </w:rPr>
        <w:t xml:space="preserve">Por fim, a gestão do Portal de Dados Abertos é realizada pelo próprio Banco Central do Brasil, garantindo a confiabilidade, organização e acessibilidade das informações disponibilizadas.</w:t>
      </w:r>
      <w:r w:rsidDel="00000000" w:rsidR="00000000" w:rsidRPr="00000000">
        <w:rPr>
          <w:sz w:val="24"/>
          <w:szCs w:val="24"/>
          <w:shd w:fill="c6c6c6" w:val="clear"/>
          <w:rtl w:val="0"/>
        </w:rPr>
        <w:t xml:space="preserve"> </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firstLine="700"/>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color w:val="0f4761"/>
          <w:sz w:val="28"/>
          <w:szCs w:val="28"/>
          <w:shd w:fill="c6c6c6" w:val="clear"/>
        </w:rPr>
      </w:pPr>
      <w:r w:rsidDel="00000000" w:rsidR="00000000" w:rsidRPr="00000000">
        <w:rPr>
          <w:color w:val="0f4761"/>
          <w:sz w:val="28"/>
          <w:szCs w:val="28"/>
          <w:rtl w:val="0"/>
        </w:rPr>
        <w:t xml:space="preserve">3.3 Descrição do Dataset</w:t>
      </w:r>
      <w:r w:rsidDel="00000000" w:rsidR="00000000" w:rsidRPr="00000000">
        <w:rPr>
          <w:color w:val="0f4761"/>
          <w:sz w:val="28"/>
          <w:szCs w:val="28"/>
          <w:shd w:fill="c6c6c6" w:val="clear"/>
          <w:rtl w:val="0"/>
        </w:rPr>
        <w:t xml:space="preserve"> </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rtl w:val="0"/>
        </w:rPr>
        <w:t xml:space="preserve">O dataset SCR é a ferramenta técnica de monitoramento que impede crises sistêmicas e protege o cidadão comum, melhorando a regulamentação e o monitoramento dos mercados financeiros globais.</w:t>
      </w:r>
      <w:r w:rsidDel="00000000" w:rsidR="00000000" w:rsidRPr="00000000">
        <w:rPr>
          <w:sz w:val="24"/>
          <w:szCs w:val="24"/>
          <w:shd w:fill="c6c6c6" w:val="clear"/>
          <w:rtl w:val="0"/>
        </w:rPr>
        <w:t xml:space="preserve"> </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rtl w:val="0"/>
        </w:rPr>
        <w:t xml:space="preserve">O SCR provê os dados necessários para que o BCB monitore a estabilidade do sistema e garanta a expansão do crédito, fortalecendo a capacidade das instituições financeiras nacionais.</w:t>
      </w:r>
      <w:r w:rsidDel="00000000" w:rsidR="00000000" w:rsidRPr="00000000">
        <w:rPr>
          <w:sz w:val="24"/>
          <w:szCs w:val="24"/>
          <w:shd w:fill="c6c6c6" w:val="clear"/>
          <w:rtl w:val="0"/>
        </w:rPr>
        <w:t xml:space="preserve"> </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rtl w:val="0"/>
        </w:rPr>
        <w:t xml:space="preserve">A tabela a seguir apresenta as variáveis que compõem o dataset, indicando o tipo de dado de cada uma e uma breve descrição de seu conteúdo. Essas informações são essenciais para compreender a estrutura da base e auxiliar na correta interpretação e análise dos dados disponibilizados pelo SCR, sendo baseadas no documento de metodologia que é disponibilizado juntamente com o dataset.</w:t>
      </w:r>
      <w:r w:rsidDel="00000000" w:rsidR="00000000" w:rsidRPr="00000000">
        <w:rPr>
          <w:sz w:val="24"/>
          <w:szCs w:val="24"/>
          <w:shd w:fill="c6c6c6" w:val="clear"/>
          <w:rtl w:val="0"/>
        </w:rPr>
        <w:t xml:space="preserve"> </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i w:val="1"/>
          <w:iCs w:val="1"/>
          <w:color w:val="0e2841"/>
          <w:sz w:val="21"/>
          <w:szCs w:val="21"/>
          <w:shd w:fill="c6c6c6" w:val="clear"/>
        </w:rPr>
      </w:pPr>
      <w:r w:rsidDel="00000000" w:rsidR="00000000" w:rsidRPr="00000000">
        <w:rPr>
          <w:b w:val="1"/>
          <w:bCs w:val="1"/>
          <w:i w:val="1"/>
          <w:iCs w:val="1"/>
          <w:color w:val="0e2841"/>
          <w:sz w:val="21"/>
          <w:szCs w:val="21"/>
          <w:rtl w:val="0"/>
        </w:rPr>
        <w:t xml:space="preserve">Tabela </w:t>
      </w:r>
      <w:r w:rsidDel="00000000" w:rsidR="00000000" w:rsidRPr="00000000">
        <w:rPr>
          <w:b w:val="1"/>
          <w:bCs w:val="1"/>
          <w:i w:val="1"/>
          <w:iCs w:val="1"/>
          <w:sz w:val="21"/>
          <w:szCs w:val="21"/>
          <w:shd w:fill="e1e3e6" w:val="clear"/>
          <w:rtl w:val="0"/>
        </w:rPr>
        <w:t xml:space="preserve">1</w:t>
      </w:r>
      <w:r w:rsidDel="00000000" w:rsidR="00000000" w:rsidRPr="00000000">
        <w:rPr>
          <w:b w:val="1"/>
          <w:bCs w:val="1"/>
          <w:i w:val="1"/>
          <w:iCs w:val="1"/>
          <w:color w:val="0e2841"/>
          <w:sz w:val="21"/>
          <w:szCs w:val="21"/>
          <w:rtl w:val="0"/>
        </w:rPr>
        <w:t xml:space="preserve"> – Descrição dos dados</w:t>
      </w:r>
      <w:r w:rsidDel="00000000" w:rsidR="00000000" w:rsidRPr="00000000">
        <w:rPr>
          <w:i w:val="1"/>
          <w:iCs w:val="1"/>
          <w:color w:val="0e2841"/>
          <w:sz w:val="21"/>
          <w:szCs w:val="21"/>
          <w:shd w:fill="c6c6c6" w:val="clear"/>
          <w:rtl w:val="0"/>
        </w:rPr>
        <w:t xml:space="preserve"> </w:t>
      </w:r>
    </w:p>
    <w:tbl>
      <w:tblPr>
        <w:tblStyle w:val="Table1"/>
        <w:tblW w:w="10905.0" w:type="dxa"/>
        <w:jc w:val="left"/>
        <w:tblInd w:w="-1020.0" w:type="dxa"/>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955"/>
        <w:gridCol w:w="1170"/>
        <w:gridCol w:w="6780"/>
        <w:tblGridChange w:id="0">
          <w:tblGrid>
            <w:gridCol w:w="2955"/>
            <w:gridCol w:w="1170"/>
            <w:gridCol w:w="6780"/>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4"/>
                <w:szCs w:val="24"/>
              </w:rPr>
            </w:pPr>
            <w:r w:rsidDel="00000000" w:rsidR="00000000" w:rsidRPr="00000000">
              <w:rPr>
                <w:b w:val="1"/>
                <w:bCs w:val="1"/>
                <w:sz w:val="24"/>
                <w:szCs w:val="24"/>
                <w:rtl w:val="0"/>
              </w:rPr>
              <w:t xml:space="preserve">Variável</w:t>
            </w:r>
            <w:r w:rsidDel="00000000" w:rsidR="00000000" w:rsidRPr="00000000">
              <w:rPr>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4"/>
                <w:szCs w:val="24"/>
              </w:rPr>
            </w:pPr>
            <w:r w:rsidDel="00000000" w:rsidR="00000000" w:rsidRPr="00000000">
              <w:rPr>
                <w:b w:val="1"/>
                <w:bCs w:val="1"/>
                <w:sz w:val="24"/>
                <w:szCs w:val="24"/>
                <w:rtl w:val="0"/>
              </w:rPr>
              <w:t xml:space="preserve">Tipo de dado</w:t>
            </w:r>
            <w:r w:rsidDel="00000000" w:rsidR="00000000" w:rsidRPr="00000000">
              <w:rPr>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4"/>
                <w:szCs w:val="24"/>
              </w:rPr>
            </w:pPr>
            <w:r w:rsidDel="00000000" w:rsidR="00000000" w:rsidRPr="00000000">
              <w:rPr>
                <w:b w:val="1"/>
                <w:bCs w:val="1"/>
                <w:sz w:val="24"/>
                <w:szCs w:val="24"/>
                <w:rtl w:val="0"/>
              </w:rPr>
              <w:t xml:space="preserve">Descrição</w:t>
            </w:r>
            <w:r w:rsidDel="00000000" w:rsidR="00000000" w:rsidRPr="00000000">
              <w:rPr>
                <w:sz w:val="24"/>
                <w:szCs w:val="24"/>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  data_base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datetime/int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Data-base (data de referência) dos dados. </w:t>
            </w:r>
          </w:p>
        </w:tc>
      </w:tr>
      <w:tr>
        <w:trPr>
          <w:cantSplit w:val="0"/>
          <w:trHeight w:val="12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uf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categórico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 Unidade federativa (estado). As 27 unidades da federação estão presentes no relatório.</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  A informação segregada por unidades da federação é baseada no CEP de residência das pessoas físicas ou da Sede das pessoas jurídicas.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segmento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categórico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  Segmento do cliente </w:t>
            </w:r>
            <w:r w:rsidDel="00000000" w:rsidR="00000000" w:rsidRPr="00000000">
              <w:rPr>
                <w:i w:val="1"/>
                <w:iCs w:val="1"/>
                <w:sz w:val="20"/>
                <w:szCs w:val="20"/>
                <w:rtl w:val="0"/>
              </w:rPr>
              <w:t xml:space="preserve">(descrição conforme tabela 2).</w:t>
            </w:r>
            <w:r w:rsidDel="00000000" w:rsidR="00000000" w:rsidRPr="00000000">
              <w:rPr>
                <w:sz w:val="20"/>
                <w:szCs w:val="20"/>
                <w:rtl w:val="0"/>
              </w:rPr>
              <w:t xml:space="preserve"> </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cliente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categórico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  Os tipos de cliente estão agrupados da seguinte forma: </w:t>
            </w:r>
          </w:p>
          <w:p w:rsidR="00000000" w:rsidDel="00000000" w:rsidP="00000000" w:rsidRDefault="00000000" w:rsidRPr="00000000" w14:paraId="00000069">
            <w:pPr>
              <w:numPr>
                <w:ilvl w:val="0"/>
                <w:numId w:val="11"/>
              </w:numPr>
              <w:pBdr>
                <w:top w:color="auto" w:space="0" w:sz="0" w:val="none"/>
                <w:bottom w:color="auto" w:space="0" w:sz="0" w:val="none"/>
                <w:right w:color="auto" w:space="0" w:sz="0" w:val="none"/>
                <w:between w:color="auto" w:space="0" w:sz="0" w:val="none"/>
              </w:pBdr>
              <w:spacing w:after="0" w:afterAutospacing="0" w:before="40" w:lineRule="auto"/>
              <w:ind w:left="1040" w:hanging="360"/>
              <w:jc w:val="center"/>
              <w:rPr>
                <w:rFonts w:ascii="Arial" w:cs="Arial" w:eastAsia="Arial" w:hAnsi="Arial"/>
                <w:sz w:val="20"/>
                <w:szCs w:val="20"/>
              </w:rPr>
            </w:pPr>
            <w:r w:rsidDel="00000000" w:rsidR="00000000" w:rsidRPr="00000000">
              <w:rPr>
                <w:sz w:val="20"/>
                <w:szCs w:val="20"/>
                <w:rtl w:val="0"/>
              </w:rPr>
              <w:t xml:space="preserve">Pessoas físicas (PF)  </w:t>
            </w:r>
          </w:p>
          <w:p w:rsidR="00000000" w:rsidDel="00000000" w:rsidP="00000000" w:rsidRDefault="00000000" w:rsidRPr="00000000" w14:paraId="0000006A">
            <w:pPr>
              <w:numPr>
                <w:ilvl w:val="0"/>
                <w:numId w:val="38"/>
              </w:numPr>
              <w:pBdr>
                <w:top w:color="auto" w:space="0" w:sz="0" w:val="none"/>
                <w:bottom w:color="auto" w:space="0" w:sz="0" w:val="none"/>
                <w:right w:color="auto" w:space="0" w:sz="0" w:val="none"/>
                <w:between w:color="auto" w:space="0" w:sz="0" w:val="none"/>
              </w:pBdr>
              <w:spacing w:after="40" w:before="0" w:beforeAutospacing="0" w:lineRule="auto"/>
              <w:ind w:left="1040" w:hanging="360"/>
              <w:jc w:val="center"/>
              <w:rPr>
                <w:rFonts w:ascii="Arial" w:cs="Arial" w:eastAsia="Arial" w:hAnsi="Arial"/>
                <w:sz w:val="20"/>
                <w:szCs w:val="20"/>
              </w:rPr>
            </w:pPr>
            <w:r w:rsidDel="00000000" w:rsidR="00000000" w:rsidRPr="00000000">
              <w:rPr>
                <w:sz w:val="20"/>
                <w:szCs w:val="20"/>
                <w:rtl w:val="0"/>
              </w:rPr>
              <w:t xml:space="preserve">Pessoas jurídicas (PJ). </w:t>
            </w:r>
          </w:p>
        </w:tc>
      </w:tr>
      <w:tr>
        <w:trPr>
          <w:cantSplit w:val="0"/>
          <w:trHeight w:val="38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cnae_ocupacao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categórico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 Para as pessoas jurídicas , o campo cnae_ocupacao é preenchido com a cessão (1º nível) do CNAE. O CNAE é o padrão oficial adotado no Brasil para classificar e categorizar as atividades econômicas exercidas por empresas. </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Para as pessoas físicas o campo cnae_ocupacao é preenchido com a natureza da ocupação. As naturezas de ocupação estão agrupadas da seguinte forma: </w:t>
            </w:r>
          </w:p>
          <w:p w:rsidR="00000000" w:rsidDel="00000000" w:rsidP="00000000" w:rsidRDefault="00000000" w:rsidRPr="00000000" w14:paraId="0000006F">
            <w:pPr>
              <w:numPr>
                <w:ilvl w:val="0"/>
                <w:numId w:val="50"/>
              </w:numPr>
              <w:pBdr>
                <w:top w:color="auto" w:space="0" w:sz="0" w:val="none"/>
                <w:bottom w:color="auto" w:space="0" w:sz="0" w:val="none"/>
                <w:right w:color="auto" w:space="0" w:sz="0" w:val="none"/>
                <w:between w:color="auto" w:space="0" w:sz="0" w:val="none"/>
              </w:pBdr>
              <w:spacing w:after="0" w:afterAutospacing="0" w:before="40" w:lineRule="auto"/>
              <w:ind w:left="1000" w:hanging="360"/>
              <w:rPr>
                <w:rFonts w:ascii="Arial" w:cs="Arial" w:eastAsia="Arial" w:hAnsi="Arial"/>
                <w:sz w:val="20"/>
                <w:szCs w:val="20"/>
              </w:rPr>
            </w:pPr>
            <w:r w:rsidDel="00000000" w:rsidR="00000000" w:rsidRPr="00000000">
              <w:rPr>
                <w:sz w:val="20"/>
                <w:szCs w:val="20"/>
                <w:rtl w:val="0"/>
              </w:rPr>
              <w:t xml:space="preserve">Servidor ou empregado público </w:t>
            </w:r>
          </w:p>
          <w:p w:rsidR="00000000" w:rsidDel="00000000" w:rsidP="00000000" w:rsidRDefault="00000000" w:rsidRPr="00000000" w14:paraId="00000070">
            <w:pPr>
              <w:numPr>
                <w:ilvl w:val="0"/>
                <w:numId w:val="49"/>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rPr>
                <w:rFonts w:ascii="Arial" w:cs="Arial" w:eastAsia="Arial" w:hAnsi="Arial"/>
                <w:sz w:val="20"/>
                <w:szCs w:val="20"/>
              </w:rPr>
            </w:pPr>
            <w:r w:rsidDel="00000000" w:rsidR="00000000" w:rsidRPr="00000000">
              <w:rPr>
                <w:sz w:val="20"/>
                <w:szCs w:val="20"/>
                <w:rtl w:val="0"/>
              </w:rPr>
              <w:t xml:space="preserve">Empregado de entidades sem fins lucrativos </w:t>
            </w:r>
          </w:p>
          <w:p w:rsidR="00000000" w:rsidDel="00000000" w:rsidP="00000000" w:rsidRDefault="00000000" w:rsidRPr="00000000" w14:paraId="00000071">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rPr>
                <w:rFonts w:ascii="Arial" w:cs="Arial" w:eastAsia="Arial" w:hAnsi="Arial"/>
                <w:sz w:val="20"/>
                <w:szCs w:val="20"/>
              </w:rPr>
            </w:pPr>
            <w:r w:rsidDel="00000000" w:rsidR="00000000" w:rsidRPr="00000000">
              <w:rPr>
                <w:sz w:val="20"/>
                <w:szCs w:val="20"/>
                <w:rtl w:val="0"/>
              </w:rPr>
              <w:t xml:space="preserve">Empregado de empresa privada </w:t>
            </w:r>
          </w:p>
          <w:p w:rsidR="00000000" w:rsidDel="00000000" w:rsidP="00000000" w:rsidRDefault="00000000" w:rsidRPr="00000000" w14:paraId="00000072">
            <w:pPr>
              <w:numPr>
                <w:ilvl w:val="0"/>
                <w:numId w:val="37"/>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rPr>
                <w:rFonts w:ascii="Arial" w:cs="Arial" w:eastAsia="Arial" w:hAnsi="Arial"/>
                <w:sz w:val="20"/>
                <w:szCs w:val="20"/>
              </w:rPr>
            </w:pPr>
            <w:r w:rsidDel="00000000" w:rsidR="00000000" w:rsidRPr="00000000">
              <w:rPr>
                <w:sz w:val="20"/>
                <w:szCs w:val="20"/>
                <w:rtl w:val="0"/>
              </w:rPr>
              <w:t xml:space="preserve">Aposentado/pensionista </w:t>
            </w:r>
          </w:p>
          <w:p w:rsidR="00000000" w:rsidDel="00000000" w:rsidP="00000000" w:rsidRDefault="00000000" w:rsidRPr="00000000" w14:paraId="00000073">
            <w:pPr>
              <w:numPr>
                <w:ilvl w:val="0"/>
                <w:numId w:val="57"/>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rPr>
                <w:rFonts w:ascii="Arial" w:cs="Arial" w:eastAsia="Arial" w:hAnsi="Arial"/>
                <w:sz w:val="20"/>
                <w:szCs w:val="20"/>
              </w:rPr>
            </w:pPr>
            <w:r w:rsidDel="00000000" w:rsidR="00000000" w:rsidRPr="00000000">
              <w:rPr>
                <w:sz w:val="20"/>
                <w:szCs w:val="20"/>
                <w:rtl w:val="0"/>
              </w:rPr>
              <w:t xml:space="preserve">Autônomo </w:t>
            </w:r>
          </w:p>
          <w:p w:rsidR="00000000" w:rsidDel="00000000" w:rsidP="00000000" w:rsidRDefault="00000000" w:rsidRPr="00000000" w14:paraId="00000074">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rPr>
                <w:rFonts w:ascii="Arial" w:cs="Arial" w:eastAsia="Arial" w:hAnsi="Arial"/>
                <w:sz w:val="20"/>
                <w:szCs w:val="20"/>
              </w:rPr>
            </w:pPr>
            <w:r w:rsidDel="00000000" w:rsidR="00000000" w:rsidRPr="00000000">
              <w:rPr>
                <w:sz w:val="20"/>
                <w:szCs w:val="20"/>
                <w:rtl w:val="0"/>
              </w:rPr>
              <w:t xml:space="preserve">Empresário </w:t>
            </w:r>
          </w:p>
          <w:p w:rsidR="00000000" w:rsidDel="00000000" w:rsidP="00000000" w:rsidRDefault="00000000" w:rsidRPr="00000000" w14:paraId="00000075">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rPr>
                <w:rFonts w:ascii="Arial" w:cs="Arial" w:eastAsia="Arial" w:hAnsi="Arial"/>
                <w:sz w:val="20"/>
                <w:szCs w:val="20"/>
              </w:rPr>
            </w:pPr>
            <w:r w:rsidDel="00000000" w:rsidR="00000000" w:rsidRPr="00000000">
              <w:rPr>
                <w:sz w:val="20"/>
                <w:szCs w:val="20"/>
                <w:rtl w:val="0"/>
              </w:rPr>
              <w:t xml:space="preserve">MEI </w:t>
            </w:r>
          </w:p>
          <w:p w:rsidR="00000000" w:rsidDel="00000000" w:rsidP="00000000" w:rsidRDefault="00000000" w:rsidRPr="00000000" w14:paraId="00000076">
            <w:pPr>
              <w:numPr>
                <w:ilvl w:val="0"/>
                <w:numId w:val="41"/>
              </w:numPr>
              <w:pBdr>
                <w:top w:color="auto" w:space="0" w:sz="0" w:val="none"/>
                <w:bottom w:color="auto" w:space="0" w:sz="0" w:val="none"/>
                <w:right w:color="auto" w:space="0" w:sz="0" w:val="none"/>
                <w:between w:color="auto" w:space="0" w:sz="0" w:val="none"/>
              </w:pBdr>
              <w:spacing w:after="40" w:before="0" w:beforeAutospacing="0" w:lineRule="auto"/>
              <w:ind w:left="1000" w:hanging="360"/>
              <w:rPr>
                <w:rFonts w:ascii="Arial" w:cs="Arial" w:eastAsia="Arial" w:hAnsi="Arial"/>
                <w:sz w:val="20"/>
                <w:szCs w:val="20"/>
              </w:rPr>
            </w:pPr>
            <w:r w:rsidDel="00000000" w:rsidR="00000000" w:rsidRPr="00000000">
              <w:rPr>
                <w:sz w:val="20"/>
                <w:szCs w:val="20"/>
                <w:rtl w:val="0"/>
              </w:rPr>
              <w:t xml:space="preserve">Outros </w:t>
            </w:r>
          </w:p>
        </w:tc>
      </w:tr>
      <w:tr>
        <w:trPr>
          <w:cantSplit w:val="0"/>
          <w:trHeight w:val="40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porte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categórico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O porte dos clientes PF está agrupado da seguinte forma: </w:t>
            </w:r>
          </w:p>
          <w:p w:rsidR="00000000" w:rsidDel="00000000" w:rsidP="00000000" w:rsidRDefault="00000000" w:rsidRPr="00000000" w14:paraId="0000007A">
            <w:pPr>
              <w:numPr>
                <w:ilvl w:val="0"/>
                <w:numId w:val="60"/>
              </w:numPr>
              <w:pBdr>
                <w:top w:color="auto" w:space="0" w:sz="0" w:val="none"/>
                <w:bottom w:color="auto" w:space="0" w:sz="0" w:val="none"/>
                <w:right w:color="auto" w:space="0" w:sz="0" w:val="none"/>
                <w:between w:color="auto" w:space="0" w:sz="0" w:val="none"/>
              </w:pBdr>
              <w:spacing w:after="0" w:afterAutospacing="0" w:before="40" w:lineRule="auto"/>
              <w:ind w:left="1040" w:hanging="360"/>
              <w:rPr>
                <w:rFonts w:ascii="Arial" w:cs="Arial" w:eastAsia="Arial" w:hAnsi="Arial"/>
                <w:sz w:val="20"/>
                <w:szCs w:val="20"/>
              </w:rPr>
            </w:pPr>
            <w:r w:rsidDel="00000000" w:rsidR="00000000" w:rsidRPr="00000000">
              <w:rPr>
                <w:sz w:val="20"/>
                <w:szCs w:val="20"/>
                <w:rtl w:val="0"/>
              </w:rPr>
              <w:t xml:space="preserve">Sem rendimento </w:t>
            </w:r>
          </w:p>
          <w:p w:rsidR="00000000" w:rsidDel="00000000" w:rsidP="00000000" w:rsidRDefault="00000000" w:rsidRPr="00000000" w14:paraId="0000007B">
            <w:pPr>
              <w:numPr>
                <w:ilvl w:val="0"/>
                <w:numId w:val="53"/>
              </w:numPr>
              <w:pBdr>
                <w:top w:color="auto" w:space="0" w:sz="0" w:val="none"/>
                <w:bottom w:color="auto" w:space="0" w:sz="0" w:val="none"/>
                <w:right w:color="auto" w:space="0" w:sz="0" w:val="none"/>
                <w:between w:color="auto" w:space="0" w:sz="0" w:val="none"/>
              </w:pBdr>
              <w:spacing w:after="0" w:afterAutospacing="0" w:before="0" w:beforeAutospacing="0" w:lineRule="auto"/>
              <w:ind w:left="1040" w:hanging="360"/>
              <w:rPr>
                <w:rFonts w:ascii="Arial" w:cs="Arial" w:eastAsia="Arial" w:hAnsi="Arial"/>
                <w:sz w:val="20"/>
                <w:szCs w:val="20"/>
              </w:rPr>
            </w:pPr>
            <w:r w:rsidDel="00000000" w:rsidR="00000000" w:rsidRPr="00000000">
              <w:rPr>
                <w:sz w:val="20"/>
                <w:szCs w:val="20"/>
                <w:rtl w:val="0"/>
              </w:rPr>
              <w:t xml:space="preserve">Até 1 salário-mínimo </w:t>
            </w:r>
          </w:p>
          <w:p w:rsidR="00000000" w:rsidDel="00000000" w:rsidP="00000000" w:rsidRDefault="00000000" w:rsidRPr="00000000" w14:paraId="0000007C">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1040" w:hanging="360"/>
              <w:rPr>
                <w:rFonts w:ascii="Arial" w:cs="Arial" w:eastAsia="Arial" w:hAnsi="Arial"/>
                <w:sz w:val="20"/>
                <w:szCs w:val="20"/>
              </w:rPr>
            </w:pPr>
            <w:r w:rsidDel="00000000" w:rsidR="00000000" w:rsidRPr="00000000">
              <w:rPr>
                <w:sz w:val="20"/>
                <w:szCs w:val="20"/>
                <w:rtl w:val="0"/>
              </w:rPr>
              <w:t xml:space="preserve">Mais de 1 a 2 salários-mínimos </w:t>
            </w:r>
          </w:p>
          <w:p w:rsidR="00000000" w:rsidDel="00000000" w:rsidP="00000000" w:rsidRDefault="00000000" w:rsidRPr="00000000" w14:paraId="0000007D">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1040" w:hanging="360"/>
              <w:rPr>
                <w:rFonts w:ascii="Arial" w:cs="Arial" w:eastAsia="Arial" w:hAnsi="Arial"/>
                <w:sz w:val="20"/>
                <w:szCs w:val="20"/>
              </w:rPr>
            </w:pPr>
            <w:r w:rsidDel="00000000" w:rsidR="00000000" w:rsidRPr="00000000">
              <w:rPr>
                <w:sz w:val="20"/>
                <w:szCs w:val="20"/>
                <w:rtl w:val="0"/>
              </w:rPr>
              <w:t xml:space="preserve">Mais de 2 a 3 salários-mínimos </w:t>
            </w:r>
          </w:p>
          <w:p w:rsidR="00000000" w:rsidDel="00000000" w:rsidP="00000000" w:rsidRDefault="00000000" w:rsidRPr="00000000" w14:paraId="0000007E">
            <w:pPr>
              <w:numPr>
                <w:ilvl w:val="0"/>
                <w:numId w:val="46"/>
              </w:numPr>
              <w:pBdr>
                <w:top w:color="auto" w:space="0" w:sz="0" w:val="none"/>
                <w:bottom w:color="auto" w:space="0" w:sz="0" w:val="none"/>
                <w:right w:color="auto" w:space="0" w:sz="0" w:val="none"/>
                <w:between w:color="auto" w:space="0" w:sz="0" w:val="none"/>
              </w:pBdr>
              <w:spacing w:after="0" w:afterAutospacing="0" w:before="0" w:beforeAutospacing="0" w:lineRule="auto"/>
              <w:ind w:left="1040" w:hanging="360"/>
              <w:rPr>
                <w:rFonts w:ascii="Arial" w:cs="Arial" w:eastAsia="Arial" w:hAnsi="Arial"/>
                <w:sz w:val="20"/>
                <w:szCs w:val="20"/>
              </w:rPr>
            </w:pPr>
            <w:r w:rsidDel="00000000" w:rsidR="00000000" w:rsidRPr="00000000">
              <w:rPr>
                <w:sz w:val="20"/>
                <w:szCs w:val="20"/>
                <w:rtl w:val="0"/>
              </w:rPr>
              <w:t xml:space="preserve">Mais de 3 a 5 salários-mínimos </w:t>
            </w:r>
          </w:p>
          <w:p w:rsidR="00000000" w:rsidDel="00000000" w:rsidP="00000000" w:rsidRDefault="00000000" w:rsidRPr="00000000" w14:paraId="0000007F">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040" w:hanging="360"/>
              <w:rPr>
                <w:rFonts w:ascii="Arial" w:cs="Arial" w:eastAsia="Arial" w:hAnsi="Arial"/>
                <w:sz w:val="20"/>
                <w:szCs w:val="20"/>
              </w:rPr>
            </w:pPr>
            <w:r w:rsidDel="00000000" w:rsidR="00000000" w:rsidRPr="00000000">
              <w:rPr>
                <w:sz w:val="20"/>
                <w:szCs w:val="20"/>
                <w:rtl w:val="0"/>
              </w:rPr>
              <w:t xml:space="preserve">Mais de 5 a 10 salários-mínimos </w:t>
            </w:r>
          </w:p>
          <w:p w:rsidR="00000000" w:rsidDel="00000000" w:rsidP="00000000" w:rsidRDefault="00000000" w:rsidRPr="00000000" w14:paraId="00000080">
            <w:pPr>
              <w:numPr>
                <w:ilvl w:val="0"/>
                <w:numId w:val="33"/>
              </w:numPr>
              <w:pBdr>
                <w:top w:color="auto" w:space="0" w:sz="0" w:val="none"/>
                <w:bottom w:color="auto" w:space="0" w:sz="0" w:val="none"/>
                <w:right w:color="auto" w:space="0" w:sz="0" w:val="none"/>
                <w:between w:color="auto" w:space="0" w:sz="0" w:val="none"/>
              </w:pBdr>
              <w:spacing w:after="0" w:afterAutospacing="0" w:before="0" w:beforeAutospacing="0" w:lineRule="auto"/>
              <w:ind w:left="1040" w:hanging="360"/>
              <w:rPr>
                <w:rFonts w:ascii="Arial" w:cs="Arial" w:eastAsia="Arial" w:hAnsi="Arial"/>
                <w:sz w:val="20"/>
                <w:szCs w:val="20"/>
              </w:rPr>
            </w:pPr>
            <w:r w:rsidDel="00000000" w:rsidR="00000000" w:rsidRPr="00000000">
              <w:rPr>
                <w:sz w:val="20"/>
                <w:szCs w:val="20"/>
                <w:rtl w:val="0"/>
              </w:rPr>
              <w:t xml:space="preserve">Mais de 10 a 20 salários-mínimos </w:t>
            </w:r>
          </w:p>
          <w:p w:rsidR="00000000" w:rsidDel="00000000" w:rsidP="00000000" w:rsidRDefault="00000000" w:rsidRPr="00000000" w14:paraId="00000081">
            <w:pPr>
              <w:numPr>
                <w:ilvl w:val="0"/>
                <w:numId w:val="44"/>
              </w:numPr>
              <w:pBdr>
                <w:top w:color="auto" w:space="0" w:sz="0" w:val="none"/>
                <w:bottom w:color="auto" w:space="0" w:sz="0" w:val="none"/>
                <w:right w:color="auto" w:space="0" w:sz="0" w:val="none"/>
                <w:between w:color="auto" w:space="0" w:sz="0" w:val="none"/>
              </w:pBdr>
              <w:spacing w:after="0" w:afterAutospacing="0" w:before="0" w:beforeAutospacing="0" w:lineRule="auto"/>
              <w:ind w:left="1040" w:hanging="360"/>
              <w:rPr>
                <w:rFonts w:ascii="Arial" w:cs="Arial" w:eastAsia="Arial" w:hAnsi="Arial"/>
                <w:sz w:val="20"/>
                <w:szCs w:val="20"/>
              </w:rPr>
            </w:pPr>
            <w:r w:rsidDel="00000000" w:rsidR="00000000" w:rsidRPr="00000000">
              <w:rPr>
                <w:sz w:val="20"/>
                <w:szCs w:val="20"/>
                <w:rtl w:val="0"/>
              </w:rPr>
              <w:t xml:space="preserve">Acima de 20 salários-mínimos </w:t>
            </w:r>
          </w:p>
          <w:p w:rsidR="00000000" w:rsidDel="00000000" w:rsidP="00000000" w:rsidRDefault="00000000" w:rsidRPr="00000000" w14:paraId="00000082">
            <w:pPr>
              <w:numPr>
                <w:ilvl w:val="0"/>
                <w:numId w:val="22"/>
              </w:numPr>
              <w:pBdr>
                <w:top w:color="auto" w:space="0" w:sz="0" w:val="none"/>
                <w:bottom w:color="auto" w:space="0" w:sz="0" w:val="none"/>
                <w:right w:color="auto" w:space="0" w:sz="0" w:val="none"/>
                <w:between w:color="auto" w:space="0" w:sz="0" w:val="none"/>
              </w:pBdr>
              <w:spacing w:after="40" w:before="0" w:beforeAutospacing="0" w:lineRule="auto"/>
              <w:ind w:left="1040" w:hanging="360"/>
              <w:rPr>
                <w:rFonts w:ascii="Arial" w:cs="Arial" w:eastAsia="Arial" w:hAnsi="Arial"/>
                <w:sz w:val="20"/>
                <w:szCs w:val="20"/>
              </w:rPr>
            </w:pPr>
            <w:r w:rsidDel="00000000" w:rsidR="00000000" w:rsidRPr="00000000">
              <w:rPr>
                <w:sz w:val="20"/>
                <w:szCs w:val="20"/>
                <w:rtl w:val="0"/>
              </w:rPr>
              <w:t xml:space="preserve">Indisponível </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O porte dos clientes PJ está agrupado da seguinte forma: </w:t>
            </w:r>
          </w:p>
          <w:p w:rsidR="00000000" w:rsidDel="00000000" w:rsidP="00000000" w:rsidRDefault="00000000" w:rsidRPr="00000000" w14:paraId="00000084">
            <w:pPr>
              <w:numPr>
                <w:ilvl w:val="0"/>
                <w:numId w:val="4"/>
              </w:numPr>
              <w:pBdr>
                <w:top w:color="auto" w:space="0" w:sz="0" w:val="none"/>
                <w:bottom w:color="auto" w:space="0" w:sz="0" w:val="none"/>
                <w:right w:color="auto" w:space="0" w:sz="0" w:val="none"/>
                <w:between w:color="auto" w:space="0" w:sz="0" w:val="none"/>
              </w:pBdr>
              <w:spacing w:after="0" w:afterAutospacing="0" w:before="40" w:lineRule="auto"/>
              <w:ind w:left="1000" w:hanging="360"/>
              <w:rPr>
                <w:rFonts w:ascii="Arial" w:cs="Arial" w:eastAsia="Arial" w:hAnsi="Arial"/>
                <w:sz w:val="20"/>
                <w:szCs w:val="20"/>
              </w:rPr>
            </w:pPr>
            <w:r w:rsidDel="00000000" w:rsidR="00000000" w:rsidRPr="00000000">
              <w:rPr>
                <w:sz w:val="20"/>
                <w:szCs w:val="20"/>
                <w:rtl w:val="0"/>
              </w:rPr>
              <w:t xml:space="preserve">Micro </w:t>
            </w:r>
          </w:p>
          <w:p w:rsidR="00000000" w:rsidDel="00000000" w:rsidP="00000000" w:rsidRDefault="00000000" w:rsidRPr="00000000" w14:paraId="00000085">
            <w:pPr>
              <w:numPr>
                <w:ilvl w:val="0"/>
                <w:numId w:val="52"/>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rPr>
                <w:rFonts w:ascii="Arial" w:cs="Arial" w:eastAsia="Arial" w:hAnsi="Arial"/>
                <w:sz w:val="20"/>
                <w:szCs w:val="20"/>
              </w:rPr>
            </w:pPr>
            <w:r w:rsidDel="00000000" w:rsidR="00000000" w:rsidRPr="00000000">
              <w:rPr>
                <w:sz w:val="20"/>
                <w:szCs w:val="20"/>
                <w:rtl w:val="0"/>
              </w:rPr>
              <w:t xml:space="preserve">Pequeno </w:t>
            </w:r>
          </w:p>
          <w:p w:rsidR="00000000" w:rsidDel="00000000" w:rsidP="00000000" w:rsidRDefault="00000000" w:rsidRPr="00000000" w14:paraId="00000086">
            <w:pPr>
              <w:numPr>
                <w:ilvl w:val="0"/>
                <w:numId w:val="40"/>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rPr>
                <w:rFonts w:ascii="Arial" w:cs="Arial" w:eastAsia="Arial" w:hAnsi="Arial"/>
                <w:sz w:val="20"/>
                <w:szCs w:val="20"/>
              </w:rPr>
            </w:pPr>
            <w:r w:rsidDel="00000000" w:rsidR="00000000" w:rsidRPr="00000000">
              <w:rPr>
                <w:sz w:val="20"/>
                <w:szCs w:val="20"/>
                <w:rtl w:val="0"/>
              </w:rPr>
              <w:t xml:space="preserve">Médio </w:t>
            </w:r>
          </w:p>
          <w:p w:rsidR="00000000" w:rsidDel="00000000" w:rsidP="00000000" w:rsidRDefault="00000000" w:rsidRPr="00000000" w14:paraId="00000087">
            <w:pPr>
              <w:numPr>
                <w:ilvl w:val="0"/>
                <w:numId w:val="42"/>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rPr>
                <w:rFonts w:ascii="Arial" w:cs="Arial" w:eastAsia="Arial" w:hAnsi="Arial"/>
                <w:sz w:val="20"/>
                <w:szCs w:val="20"/>
              </w:rPr>
            </w:pPr>
            <w:r w:rsidDel="00000000" w:rsidR="00000000" w:rsidRPr="00000000">
              <w:rPr>
                <w:sz w:val="20"/>
                <w:szCs w:val="20"/>
                <w:rtl w:val="0"/>
              </w:rPr>
              <w:t xml:space="preserve">Grande </w:t>
            </w:r>
          </w:p>
          <w:p w:rsidR="00000000" w:rsidDel="00000000" w:rsidP="00000000" w:rsidRDefault="00000000" w:rsidRPr="00000000" w14:paraId="00000088">
            <w:pPr>
              <w:numPr>
                <w:ilvl w:val="0"/>
                <w:numId w:val="20"/>
              </w:numPr>
              <w:pBdr>
                <w:top w:color="auto" w:space="0" w:sz="0" w:val="none"/>
                <w:bottom w:color="auto" w:space="0" w:sz="0" w:val="none"/>
                <w:right w:color="auto" w:space="0" w:sz="0" w:val="none"/>
                <w:between w:color="auto" w:space="0" w:sz="0" w:val="none"/>
              </w:pBdr>
              <w:spacing w:after="40" w:before="0" w:beforeAutospacing="0" w:lineRule="auto"/>
              <w:ind w:left="1000" w:hanging="360"/>
              <w:rPr>
                <w:rFonts w:ascii="Arial" w:cs="Arial" w:eastAsia="Arial" w:hAnsi="Arial"/>
                <w:sz w:val="20"/>
                <w:szCs w:val="20"/>
              </w:rPr>
            </w:pPr>
            <w:r w:rsidDel="00000000" w:rsidR="00000000" w:rsidRPr="00000000">
              <w:rPr>
                <w:sz w:val="20"/>
                <w:szCs w:val="20"/>
                <w:rtl w:val="0"/>
              </w:rPr>
              <w:t xml:space="preserve">Indisponível </w:t>
            </w:r>
          </w:p>
        </w:tc>
      </w:tr>
      <w:tr>
        <w:trPr>
          <w:cantSplit w:val="0"/>
          <w:trHeight w:val="36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modalidade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categórico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As modalidade das operações de crédito estão agrupadas da seguinte forma: </w:t>
            </w:r>
          </w:p>
          <w:p w:rsidR="00000000" w:rsidDel="00000000" w:rsidP="00000000" w:rsidRDefault="00000000" w:rsidRPr="00000000" w14:paraId="0000008C">
            <w:pPr>
              <w:numPr>
                <w:ilvl w:val="0"/>
                <w:numId w:val="7"/>
              </w:numPr>
              <w:pBdr>
                <w:top w:color="auto" w:space="0" w:sz="0" w:val="none"/>
                <w:bottom w:color="auto" w:space="0" w:sz="0" w:val="none"/>
                <w:right w:color="auto" w:space="0" w:sz="0" w:val="none"/>
                <w:between w:color="auto" w:space="0" w:sz="0" w:val="none"/>
              </w:pBdr>
              <w:spacing w:after="0" w:afterAutospacing="0" w:before="40" w:lineRule="auto"/>
              <w:ind w:left="1000" w:hanging="360"/>
              <w:rPr>
                <w:rFonts w:ascii="Arial" w:cs="Arial" w:eastAsia="Arial" w:hAnsi="Arial"/>
                <w:sz w:val="20"/>
                <w:szCs w:val="20"/>
              </w:rPr>
            </w:pPr>
            <w:r w:rsidDel="00000000" w:rsidR="00000000" w:rsidRPr="00000000">
              <w:rPr>
                <w:sz w:val="20"/>
                <w:szCs w:val="20"/>
                <w:rtl w:val="0"/>
              </w:rPr>
              <w:t xml:space="preserve">Adiantamento a depositantes </w:t>
            </w:r>
          </w:p>
          <w:p w:rsidR="00000000" w:rsidDel="00000000" w:rsidP="00000000" w:rsidRDefault="00000000" w:rsidRPr="00000000" w14:paraId="0000008D">
            <w:pPr>
              <w:numPr>
                <w:ilvl w:val="0"/>
                <w:numId w:val="28"/>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rPr>
                <w:rFonts w:ascii="Arial" w:cs="Arial" w:eastAsia="Arial" w:hAnsi="Arial"/>
                <w:sz w:val="20"/>
                <w:szCs w:val="20"/>
              </w:rPr>
            </w:pPr>
            <w:r w:rsidDel="00000000" w:rsidR="00000000" w:rsidRPr="00000000">
              <w:rPr>
                <w:sz w:val="20"/>
                <w:szCs w:val="20"/>
                <w:rtl w:val="0"/>
              </w:rPr>
              <w:t xml:space="preserve">Empréstimos </w:t>
            </w:r>
          </w:p>
          <w:p w:rsidR="00000000" w:rsidDel="00000000" w:rsidP="00000000" w:rsidRDefault="00000000" w:rsidRPr="00000000" w14:paraId="0000008E">
            <w:pPr>
              <w:numPr>
                <w:ilvl w:val="0"/>
                <w:numId w:val="48"/>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rPr>
                <w:rFonts w:ascii="Arial" w:cs="Arial" w:eastAsia="Arial" w:hAnsi="Arial"/>
                <w:sz w:val="20"/>
                <w:szCs w:val="20"/>
              </w:rPr>
            </w:pPr>
            <w:r w:rsidDel="00000000" w:rsidR="00000000" w:rsidRPr="00000000">
              <w:rPr>
                <w:sz w:val="20"/>
                <w:szCs w:val="20"/>
                <w:rtl w:val="0"/>
              </w:rPr>
              <w:t xml:space="preserve">Direitos creditórios descontados </w:t>
            </w:r>
          </w:p>
          <w:p w:rsidR="00000000" w:rsidDel="00000000" w:rsidP="00000000" w:rsidRDefault="00000000" w:rsidRPr="00000000" w14:paraId="0000008F">
            <w:pPr>
              <w:numPr>
                <w:ilvl w:val="0"/>
                <w:numId w:val="56"/>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rPr>
                <w:rFonts w:ascii="Arial" w:cs="Arial" w:eastAsia="Arial" w:hAnsi="Arial"/>
                <w:sz w:val="20"/>
                <w:szCs w:val="20"/>
              </w:rPr>
            </w:pPr>
            <w:r w:rsidDel="00000000" w:rsidR="00000000" w:rsidRPr="00000000">
              <w:rPr>
                <w:sz w:val="20"/>
                <w:szCs w:val="20"/>
                <w:rtl w:val="0"/>
              </w:rPr>
              <w:t xml:space="preserve">Financiamentos </w:t>
            </w:r>
          </w:p>
          <w:p w:rsidR="00000000" w:rsidDel="00000000" w:rsidP="00000000" w:rsidRDefault="00000000" w:rsidRPr="00000000" w14:paraId="00000090">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rPr>
                <w:rFonts w:ascii="Arial" w:cs="Arial" w:eastAsia="Arial" w:hAnsi="Arial"/>
                <w:sz w:val="20"/>
                <w:szCs w:val="20"/>
              </w:rPr>
            </w:pPr>
            <w:r w:rsidDel="00000000" w:rsidR="00000000" w:rsidRPr="00000000">
              <w:rPr>
                <w:sz w:val="20"/>
                <w:szCs w:val="20"/>
                <w:rtl w:val="0"/>
              </w:rPr>
              <w:t xml:space="preserve">Financiamentos à exportação </w:t>
            </w:r>
          </w:p>
          <w:p w:rsidR="00000000" w:rsidDel="00000000" w:rsidP="00000000" w:rsidRDefault="00000000" w:rsidRPr="00000000" w14:paraId="00000091">
            <w:pPr>
              <w:numPr>
                <w:ilvl w:val="0"/>
                <w:numId w:val="43"/>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rPr>
                <w:rFonts w:ascii="Arial" w:cs="Arial" w:eastAsia="Arial" w:hAnsi="Arial"/>
                <w:sz w:val="20"/>
                <w:szCs w:val="20"/>
              </w:rPr>
            </w:pPr>
            <w:r w:rsidDel="00000000" w:rsidR="00000000" w:rsidRPr="00000000">
              <w:rPr>
                <w:sz w:val="20"/>
                <w:szCs w:val="20"/>
                <w:rtl w:val="0"/>
              </w:rPr>
              <w:t xml:space="preserve">Financiamento à importação </w:t>
            </w:r>
          </w:p>
          <w:p w:rsidR="00000000" w:rsidDel="00000000" w:rsidP="00000000" w:rsidRDefault="00000000" w:rsidRPr="00000000" w14:paraId="00000092">
            <w:pPr>
              <w:numPr>
                <w:ilvl w:val="0"/>
                <w:numId w:val="29"/>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rPr>
                <w:rFonts w:ascii="Arial" w:cs="Arial" w:eastAsia="Arial" w:hAnsi="Arial"/>
                <w:sz w:val="20"/>
                <w:szCs w:val="20"/>
              </w:rPr>
            </w:pPr>
            <w:r w:rsidDel="00000000" w:rsidR="00000000" w:rsidRPr="00000000">
              <w:rPr>
                <w:sz w:val="20"/>
                <w:szCs w:val="20"/>
                <w:rtl w:val="0"/>
              </w:rPr>
              <w:t xml:space="preserve">Financiamentos com interveniência </w:t>
            </w:r>
          </w:p>
          <w:p w:rsidR="00000000" w:rsidDel="00000000" w:rsidP="00000000" w:rsidRDefault="00000000" w:rsidRPr="00000000" w14:paraId="00000093">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rPr>
                <w:rFonts w:ascii="Arial" w:cs="Arial" w:eastAsia="Arial" w:hAnsi="Arial"/>
                <w:sz w:val="20"/>
                <w:szCs w:val="20"/>
              </w:rPr>
            </w:pPr>
            <w:r w:rsidDel="00000000" w:rsidR="00000000" w:rsidRPr="00000000">
              <w:rPr>
                <w:sz w:val="20"/>
                <w:szCs w:val="20"/>
                <w:rtl w:val="0"/>
              </w:rPr>
              <w:t xml:space="preserve">Financiamentos rurais e agroindustriais </w:t>
            </w:r>
          </w:p>
          <w:p w:rsidR="00000000" w:rsidDel="00000000" w:rsidP="00000000" w:rsidRDefault="00000000" w:rsidRPr="00000000" w14:paraId="00000094">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rPr>
                <w:rFonts w:ascii="Arial" w:cs="Arial" w:eastAsia="Arial" w:hAnsi="Arial"/>
                <w:sz w:val="20"/>
                <w:szCs w:val="20"/>
              </w:rPr>
            </w:pPr>
            <w:r w:rsidDel="00000000" w:rsidR="00000000" w:rsidRPr="00000000">
              <w:rPr>
                <w:sz w:val="20"/>
                <w:szCs w:val="20"/>
                <w:rtl w:val="0"/>
              </w:rPr>
              <w:t xml:space="preserve">Financiamentos imobiliários </w:t>
            </w:r>
          </w:p>
          <w:p w:rsidR="00000000" w:rsidDel="00000000" w:rsidP="00000000" w:rsidRDefault="00000000" w:rsidRPr="00000000" w14:paraId="00000095">
            <w:pPr>
              <w:numPr>
                <w:ilvl w:val="0"/>
                <w:numId w:val="45"/>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rPr>
                <w:rFonts w:ascii="Arial" w:cs="Arial" w:eastAsia="Arial" w:hAnsi="Arial"/>
                <w:sz w:val="20"/>
                <w:szCs w:val="20"/>
              </w:rPr>
            </w:pPr>
            <w:r w:rsidDel="00000000" w:rsidR="00000000" w:rsidRPr="00000000">
              <w:rPr>
                <w:sz w:val="20"/>
                <w:szCs w:val="20"/>
                <w:rtl w:val="0"/>
              </w:rPr>
              <w:t xml:space="preserve">Financiamento de títulos e valores imobiliários </w:t>
            </w:r>
          </w:p>
          <w:p w:rsidR="00000000" w:rsidDel="00000000" w:rsidP="00000000" w:rsidRDefault="00000000" w:rsidRPr="00000000" w14:paraId="00000096">
            <w:pPr>
              <w:numPr>
                <w:ilvl w:val="0"/>
                <w:numId w:val="32"/>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rPr>
                <w:rFonts w:ascii="Arial" w:cs="Arial" w:eastAsia="Arial" w:hAnsi="Arial"/>
                <w:sz w:val="20"/>
                <w:szCs w:val="20"/>
              </w:rPr>
            </w:pPr>
            <w:r w:rsidDel="00000000" w:rsidR="00000000" w:rsidRPr="00000000">
              <w:rPr>
                <w:sz w:val="20"/>
                <w:szCs w:val="20"/>
                <w:rtl w:val="0"/>
              </w:rPr>
              <w:t xml:space="preserve">Financiamento de infraestrutura e desenvolvimento </w:t>
            </w:r>
          </w:p>
          <w:p w:rsidR="00000000" w:rsidDel="00000000" w:rsidP="00000000" w:rsidRDefault="00000000" w:rsidRPr="00000000" w14:paraId="00000097">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rPr>
                <w:rFonts w:ascii="Arial" w:cs="Arial" w:eastAsia="Arial" w:hAnsi="Arial"/>
                <w:sz w:val="20"/>
                <w:szCs w:val="20"/>
              </w:rPr>
            </w:pPr>
            <w:r w:rsidDel="00000000" w:rsidR="00000000" w:rsidRPr="00000000">
              <w:rPr>
                <w:sz w:val="20"/>
                <w:szCs w:val="20"/>
                <w:rtl w:val="0"/>
              </w:rPr>
              <w:t xml:space="preserve">Operações de arrendamento </w:t>
            </w:r>
          </w:p>
          <w:p w:rsidR="00000000" w:rsidDel="00000000" w:rsidP="00000000" w:rsidRDefault="00000000" w:rsidRPr="00000000" w14:paraId="00000098">
            <w:pPr>
              <w:numPr>
                <w:ilvl w:val="0"/>
                <w:numId w:val="35"/>
              </w:numPr>
              <w:pBdr>
                <w:top w:color="auto" w:space="0" w:sz="0" w:val="none"/>
                <w:bottom w:color="auto" w:space="0" w:sz="0" w:val="none"/>
                <w:right w:color="auto" w:space="0" w:sz="0" w:val="none"/>
                <w:between w:color="auto" w:space="0" w:sz="0" w:val="none"/>
              </w:pBdr>
              <w:spacing w:after="40" w:before="0" w:beforeAutospacing="0" w:lineRule="auto"/>
              <w:ind w:left="1000" w:hanging="360"/>
              <w:rPr>
                <w:rFonts w:ascii="Arial" w:cs="Arial" w:eastAsia="Arial" w:hAnsi="Arial"/>
                <w:sz w:val="20"/>
                <w:szCs w:val="20"/>
              </w:rPr>
            </w:pPr>
            <w:r w:rsidDel="00000000" w:rsidR="00000000" w:rsidRPr="00000000">
              <w:rPr>
                <w:sz w:val="20"/>
                <w:szCs w:val="20"/>
                <w:rtl w:val="0"/>
              </w:rPr>
              <w:t xml:space="preserve">Outros créditos </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submodalidade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categórico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As submodalidades apresentadas no relatório representam as sub modalidades definidas no Anexo 3 do Leiaute do SCR </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origem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categórico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A origem dos recursos está agrupada da seguinte forma: </w:t>
            </w:r>
          </w:p>
          <w:p w:rsidR="00000000" w:rsidDel="00000000" w:rsidP="00000000" w:rsidRDefault="00000000" w:rsidRPr="00000000" w14:paraId="0000009F">
            <w:pPr>
              <w:numPr>
                <w:ilvl w:val="0"/>
                <w:numId w:val="16"/>
              </w:numPr>
              <w:pBdr>
                <w:top w:color="auto" w:space="0" w:sz="0" w:val="none"/>
                <w:bottom w:color="auto" w:space="0" w:sz="0" w:val="none"/>
                <w:right w:color="auto" w:space="0" w:sz="0" w:val="none"/>
                <w:between w:color="auto" w:space="0" w:sz="0" w:val="none"/>
              </w:pBdr>
              <w:spacing w:after="0" w:afterAutospacing="0" w:before="40" w:lineRule="auto"/>
              <w:ind w:left="1000" w:hanging="360"/>
              <w:rPr>
                <w:rFonts w:ascii="Arial" w:cs="Arial" w:eastAsia="Arial" w:hAnsi="Arial"/>
                <w:sz w:val="20"/>
                <w:szCs w:val="20"/>
              </w:rPr>
            </w:pPr>
            <w:r w:rsidDel="00000000" w:rsidR="00000000" w:rsidRPr="00000000">
              <w:rPr>
                <w:sz w:val="20"/>
                <w:szCs w:val="20"/>
                <w:rtl w:val="0"/>
              </w:rPr>
              <w:t xml:space="preserve">Sem destinação específica </w:t>
            </w:r>
          </w:p>
          <w:p w:rsidR="00000000" w:rsidDel="00000000" w:rsidP="00000000" w:rsidRDefault="00000000" w:rsidRPr="00000000" w14:paraId="000000A0">
            <w:pPr>
              <w:numPr>
                <w:ilvl w:val="0"/>
                <w:numId w:val="27"/>
              </w:numPr>
              <w:pBdr>
                <w:top w:color="auto" w:space="0" w:sz="0" w:val="none"/>
                <w:bottom w:color="auto" w:space="0" w:sz="0" w:val="none"/>
                <w:right w:color="auto" w:space="0" w:sz="0" w:val="none"/>
                <w:between w:color="auto" w:space="0" w:sz="0" w:val="none"/>
              </w:pBdr>
              <w:spacing w:after="40" w:before="0" w:beforeAutospacing="0" w:lineRule="auto"/>
              <w:ind w:left="1000" w:hanging="360"/>
              <w:rPr>
                <w:rFonts w:ascii="Arial" w:cs="Arial" w:eastAsia="Arial" w:hAnsi="Arial"/>
                <w:sz w:val="20"/>
                <w:szCs w:val="20"/>
              </w:rPr>
            </w:pPr>
            <w:r w:rsidDel="00000000" w:rsidR="00000000" w:rsidRPr="00000000">
              <w:rPr>
                <w:sz w:val="20"/>
                <w:szCs w:val="20"/>
                <w:rtl w:val="0"/>
              </w:rPr>
              <w:t xml:space="preserve">Com destinação específica </w:t>
            </w:r>
          </w:p>
        </w:tc>
      </w:tr>
      <w:tr>
        <w:trPr>
          <w:cantSplit w:val="0"/>
          <w:trHeight w:val="24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indexador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categórico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Os indexadores da operação estão agrupados da seguinte forma:  </w:t>
            </w:r>
          </w:p>
          <w:p w:rsidR="00000000" w:rsidDel="00000000" w:rsidP="00000000" w:rsidRDefault="00000000" w:rsidRPr="00000000" w14:paraId="000000A4">
            <w:pPr>
              <w:numPr>
                <w:ilvl w:val="0"/>
                <w:numId w:val="55"/>
              </w:numPr>
              <w:pBdr>
                <w:top w:color="auto" w:space="0" w:sz="0" w:val="none"/>
                <w:bottom w:color="auto" w:space="0" w:sz="0" w:val="none"/>
                <w:right w:color="auto" w:space="0" w:sz="0" w:val="none"/>
                <w:between w:color="auto" w:space="0" w:sz="0" w:val="none"/>
              </w:pBdr>
              <w:spacing w:after="0" w:afterAutospacing="0" w:before="40" w:lineRule="auto"/>
              <w:ind w:left="1000" w:hanging="360"/>
              <w:rPr>
                <w:rFonts w:ascii="Arial" w:cs="Arial" w:eastAsia="Arial" w:hAnsi="Arial"/>
                <w:sz w:val="20"/>
                <w:szCs w:val="20"/>
              </w:rPr>
            </w:pPr>
            <w:r w:rsidDel="00000000" w:rsidR="00000000" w:rsidRPr="00000000">
              <w:rPr>
                <w:sz w:val="20"/>
                <w:szCs w:val="20"/>
                <w:rtl w:val="0"/>
              </w:rPr>
              <w:t xml:space="preserve">Prefixado </w:t>
            </w:r>
          </w:p>
          <w:p w:rsidR="00000000" w:rsidDel="00000000" w:rsidP="00000000" w:rsidRDefault="00000000" w:rsidRPr="00000000" w14:paraId="000000A5">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rPr>
                <w:rFonts w:ascii="Arial" w:cs="Arial" w:eastAsia="Arial" w:hAnsi="Arial"/>
                <w:sz w:val="20"/>
                <w:szCs w:val="20"/>
              </w:rPr>
            </w:pPr>
            <w:r w:rsidDel="00000000" w:rsidR="00000000" w:rsidRPr="00000000">
              <w:rPr>
                <w:sz w:val="20"/>
                <w:szCs w:val="20"/>
                <w:rtl w:val="0"/>
              </w:rPr>
              <w:t xml:space="preserve">Pós-fixado </w:t>
            </w:r>
          </w:p>
          <w:p w:rsidR="00000000" w:rsidDel="00000000" w:rsidP="00000000" w:rsidRDefault="00000000" w:rsidRPr="00000000" w14:paraId="000000A6">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rPr>
                <w:rFonts w:ascii="Arial" w:cs="Arial" w:eastAsia="Arial" w:hAnsi="Arial"/>
                <w:sz w:val="20"/>
                <w:szCs w:val="20"/>
              </w:rPr>
            </w:pPr>
            <w:r w:rsidDel="00000000" w:rsidR="00000000" w:rsidRPr="00000000">
              <w:rPr>
                <w:sz w:val="20"/>
                <w:szCs w:val="20"/>
                <w:rtl w:val="0"/>
              </w:rPr>
              <w:t xml:space="preserve">Flutuantes </w:t>
            </w:r>
          </w:p>
          <w:p w:rsidR="00000000" w:rsidDel="00000000" w:rsidP="00000000" w:rsidRDefault="00000000" w:rsidRPr="00000000" w14:paraId="000000A7">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rPr>
                <w:rFonts w:ascii="Arial" w:cs="Arial" w:eastAsia="Arial" w:hAnsi="Arial"/>
                <w:sz w:val="20"/>
                <w:szCs w:val="20"/>
              </w:rPr>
            </w:pPr>
            <w:r w:rsidDel="00000000" w:rsidR="00000000" w:rsidRPr="00000000">
              <w:rPr>
                <w:sz w:val="20"/>
                <w:szCs w:val="20"/>
                <w:rtl w:val="0"/>
              </w:rPr>
              <w:t xml:space="preserve">Índices de preços </w:t>
            </w:r>
          </w:p>
          <w:p w:rsidR="00000000" w:rsidDel="00000000" w:rsidP="00000000" w:rsidRDefault="00000000" w:rsidRPr="00000000" w14:paraId="000000A8">
            <w:pPr>
              <w:numPr>
                <w:ilvl w:val="0"/>
                <w:numId w:val="54"/>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rPr>
                <w:rFonts w:ascii="Arial" w:cs="Arial" w:eastAsia="Arial" w:hAnsi="Arial"/>
                <w:sz w:val="20"/>
                <w:szCs w:val="20"/>
              </w:rPr>
            </w:pPr>
            <w:r w:rsidDel="00000000" w:rsidR="00000000" w:rsidRPr="00000000">
              <w:rPr>
                <w:sz w:val="20"/>
                <w:szCs w:val="20"/>
                <w:rtl w:val="0"/>
              </w:rPr>
              <w:t xml:space="preserve">TCR/TRFC (Taxas de Juros do Crédito Rural e Taxas de Juros Rurais dos Fundos Constitucionais de Financiamento) </w:t>
            </w:r>
          </w:p>
          <w:p w:rsidR="00000000" w:rsidDel="00000000" w:rsidP="00000000" w:rsidRDefault="00000000" w:rsidRPr="00000000" w14:paraId="000000A9">
            <w:pPr>
              <w:numPr>
                <w:ilvl w:val="0"/>
                <w:numId w:val="58"/>
              </w:numPr>
              <w:pBdr>
                <w:top w:color="auto" w:space="0" w:sz="0" w:val="none"/>
                <w:bottom w:color="auto" w:space="0" w:sz="0" w:val="none"/>
                <w:right w:color="auto" w:space="0" w:sz="0" w:val="none"/>
                <w:between w:color="auto" w:space="0" w:sz="0" w:val="none"/>
              </w:pBdr>
              <w:spacing w:after="40" w:before="0" w:beforeAutospacing="0" w:lineRule="auto"/>
              <w:ind w:left="1000" w:hanging="360"/>
              <w:rPr>
                <w:rFonts w:ascii="Arial" w:cs="Arial" w:eastAsia="Arial" w:hAnsi="Arial"/>
                <w:sz w:val="20"/>
                <w:szCs w:val="20"/>
              </w:rPr>
            </w:pPr>
            <w:r w:rsidDel="00000000" w:rsidR="00000000" w:rsidRPr="00000000">
              <w:rPr>
                <w:sz w:val="20"/>
                <w:szCs w:val="20"/>
                <w:rtl w:val="0"/>
              </w:rPr>
              <w:t xml:space="preserve">Outros indexadores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numero_de_operacoes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numérico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Representa o número de operações de crédito para um dado recorte de dados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a_vencer_ate_90_dias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numérico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Somatório dos créditos a vencer até 90 dias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a_vencer_de_91_ate_360_dias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numérico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Somatório dos créditos a vencer  de 91 até 360 dias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a_vencer_de_361_ate_1080_dias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numérico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Somatório dos créditos a vencer  de 361 até 1080 dias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a_vencer_de_1081_ate_1800_dias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numérico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Somatório dos créditos a vencer  de 1081 até 1800 dias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a_vencer_de_1801_ate_5400_dias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numérico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Somatório dos créditos a vencer  de 1801 até 5400 dias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a_vencer_acima_de_5400_dias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numérico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Somatório dos créditos a vencer acima de 5400 dias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carteira_a_vencer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numérico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Total da carteira a vencer (somatória dos créditos a vencer citados anteriormente).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vencido_de_15_ate_90_dias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numérico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Somatório dos créditos vencidos de 15 até 90 dias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vencido_acima_de_90_dias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numérico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Somatório dos créditos vencidos acima de 90 dias </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carteira_vencida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numérico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Somatória dos itens vencido_de_15_ate_90_dias e vencido_acima_de_90_dias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carteira_ativa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numérico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Somatória dos itens carteira_a_vencer e carteira_vencida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carteira_inadimplencia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numérico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Somatória das operações de crédito a vencer e vencidas que possuam alguma parcela vencida há mais de 90 dias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ativo_problematico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numérico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Somatória das operações de crédito classificadas como ativos problemáticos. </w:t>
            </w:r>
          </w:p>
        </w:tc>
      </w:tr>
    </w:tbl>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b w:val="1"/>
          <w:bCs w:val="1"/>
          <w:i w:val="1"/>
          <w:iCs w:val="1"/>
          <w:color w:val="0e2841"/>
          <w:sz w:val="21"/>
          <w:szCs w:val="21"/>
        </w:rPr>
      </w:pPr>
      <w:r w:rsidDel="00000000" w:rsidR="00000000" w:rsidRPr="00000000">
        <w:rPr>
          <w:rtl w:val="0"/>
        </w:rPr>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b w:val="1"/>
          <w:bCs w:val="1"/>
          <w:i w:val="1"/>
          <w:iCs w:val="1"/>
          <w:color w:val="0e2841"/>
          <w:sz w:val="21"/>
          <w:szCs w:val="21"/>
        </w:rPr>
      </w:pPr>
      <w:r w:rsidDel="00000000" w:rsidR="00000000" w:rsidRPr="00000000">
        <w:rPr>
          <w:rtl w:val="0"/>
        </w:rPr>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b w:val="1"/>
          <w:bCs w:val="1"/>
          <w:i w:val="1"/>
          <w:iCs w:val="1"/>
          <w:color w:val="0e2841"/>
          <w:sz w:val="21"/>
          <w:szCs w:val="21"/>
        </w:rPr>
      </w:pPr>
      <w:r w:rsidDel="00000000" w:rsidR="00000000" w:rsidRPr="00000000">
        <w:rPr>
          <w:rtl w:val="0"/>
        </w:rPr>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b w:val="1"/>
          <w:bCs w:val="1"/>
          <w:i w:val="1"/>
          <w:iCs w:val="1"/>
          <w:color w:val="0e2841"/>
          <w:sz w:val="21"/>
          <w:szCs w:val="21"/>
        </w:rPr>
      </w:pPr>
      <w:r w:rsidDel="00000000" w:rsidR="00000000" w:rsidRPr="00000000">
        <w:rPr>
          <w:rtl w:val="0"/>
        </w:rPr>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i w:val="1"/>
          <w:iCs w:val="1"/>
          <w:color w:val="0e2841"/>
          <w:sz w:val="21"/>
          <w:szCs w:val="21"/>
          <w:shd w:fill="c6c6c6" w:val="clear"/>
        </w:rPr>
      </w:pPr>
      <w:r w:rsidDel="00000000" w:rsidR="00000000" w:rsidRPr="00000000">
        <w:rPr>
          <w:b w:val="1"/>
          <w:bCs w:val="1"/>
          <w:i w:val="1"/>
          <w:iCs w:val="1"/>
          <w:color w:val="0e2841"/>
          <w:sz w:val="21"/>
          <w:szCs w:val="21"/>
          <w:rtl w:val="0"/>
        </w:rPr>
        <w:t xml:space="preserve">Tabela </w:t>
      </w:r>
      <w:r w:rsidDel="00000000" w:rsidR="00000000" w:rsidRPr="00000000">
        <w:rPr>
          <w:b w:val="1"/>
          <w:bCs w:val="1"/>
          <w:i w:val="1"/>
          <w:iCs w:val="1"/>
          <w:sz w:val="21"/>
          <w:szCs w:val="21"/>
          <w:shd w:fill="e1e3e6" w:val="clear"/>
          <w:rtl w:val="0"/>
        </w:rPr>
        <w:t xml:space="preserve">2</w:t>
      </w:r>
      <w:r w:rsidDel="00000000" w:rsidR="00000000" w:rsidRPr="00000000">
        <w:rPr>
          <w:b w:val="1"/>
          <w:bCs w:val="1"/>
          <w:i w:val="1"/>
          <w:iCs w:val="1"/>
          <w:color w:val="0e2841"/>
          <w:sz w:val="21"/>
          <w:szCs w:val="21"/>
          <w:rtl w:val="0"/>
        </w:rPr>
        <w:t xml:space="preserve"> – Segmentos das instituições financeiras</w:t>
      </w:r>
      <w:r w:rsidDel="00000000" w:rsidR="00000000" w:rsidRPr="00000000">
        <w:rPr>
          <w:i w:val="1"/>
          <w:iCs w:val="1"/>
          <w:color w:val="0e2841"/>
          <w:sz w:val="21"/>
          <w:szCs w:val="21"/>
          <w:shd w:fill="c6c6c6" w:val="clear"/>
          <w:rtl w:val="0"/>
        </w:rPr>
        <w:t xml:space="preserve"> </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shd w:fill="c6c6c6" w:val="clear"/>
        </w:rPr>
      </w:pPr>
      <w:r w:rsidDel="00000000" w:rsidR="00000000" w:rsidRPr="00000000">
        <w:rPr>
          <w:i w:val="1"/>
          <w:iCs w:val="1"/>
          <w:color w:val="0e2841"/>
          <w:sz w:val="21"/>
          <w:szCs w:val="21"/>
          <w:shd w:fill="c6c6c6" w:val="clear"/>
        </w:rPr>
        <w:drawing>
          <wp:inline distB="114300" distT="114300" distL="114300" distR="114300">
            <wp:extent cx="4787900" cy="41402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787900" cy="4140200"/>
                    </a:xfrm>
                    <a:prstGeom prst="rect"/>
                    <a:ln/>
                  </pic:spPr>
                </pic:pic>
              </a:graphicData>
            </a:graphic>
          </wp:inline>
        </w:drawing>
      </w:r>
      <w:r w:rsidDel="00000000" w:rsidR="00000000" w:rsidRPr="00000000">
        <w:rPr>
          <w:sz w:val="24"/>
          <w:szCs w:val="24"/>
          <w:shd w:fill="c6c6c6" w:val="clear"/>
          <w:rtl w:val="0"/>
        </w:rPr>
        <w:t xml:space="preserve"> </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16"/>
          <w:szCs w:val="16"/>
          <w:shd w:fill="c6c6c6" w:val="clear"/>
        </w:rPr>
      </w:pPr>
      <w:r w:rsidDel="00000000" w:rsidR="00000000" w:rsidRPr="00000000">
        <w:rPr>
          <w:i w:val="1"/>
          <w:iCs w:val="1"/>
          <w:sz w:val="16"/>
          <w:szCs w:val="16"/>
          <w:rtl w:val="0"/>
        </w:rPr>
        <w:t xml:space="preserve">Fonte: BANCO CENTRAL DO BRASIL. Metodologia – Versão 2. Disponível em: &lt;https://www.bcb.gov.br/pda/desig/metodologia_versao2.pdf&gt;. Acesso em: 21 mar. 2026.</w:t>
      </w:r>
      <w:r w:rsidDel="00000000" w:rsidR="00000000" w:rsidRPr="00000000">
        <w:rPr>
          <w:sz w:val="16"/>
          <w:szCs w:val="16"/>
          <w:shd w:fill="c6c6c6" w:val="clear"/>
          <w:rtl w:val="0"/>
        </w:rPr>
        <w:t xml:space="preserve"> </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rtl w:val="0"/>
        </w:rPr>
        <w:t xml:space="preserve">O dataset reúne informações agregadas sobre operações de crédito no Brasil, disponibilizadas pelo Banco Central por meio do Sistema de Informações de Créditos (SCR). Esses dados representam um panorama geral do mercado de crédito, sem identificar indivíduos, sendo utilizados para análises econômicas e financeiras.</w:t>
      </w:r>
      <w:r w:rsidDel="00000000" w:rsidR="00000000" w:rsidRPr="00000000">
        <w:rPr>
          <w:sz w:val="24"/>
          <w:szCs w:val="24"/>
          <w:shd w:fill="c6c6c6" w:val="clear"/>
          <w:rtl w:val="0"/>
        </w:rPr>
        <w:t xml:space="preserve"> </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rtl w:val="0"/>
        </w:rPr>
        <w:t xml:space="preserve">Em resumo, trata-se de uma base confiável e periódica que permite acompanhar a evolução do crédito no país ao longo do tempo, sendo útil para estudos, pesquisas e análises de tendências econômicas.</w:t>
      </w:r>
      <w:r w:rsidDel="00000000" w:rsidR="00000000" w:rsidRPr="00000000">
        <w:rPr>
          <w:sz w:val="24"/>
          <w:szCs w:val="24"/>
          <w:shd w:fill="c6c6c6" w:val="clear"/>
          <w:rtl w:val="0"/>
        </w:rPr>
        <w:t xml:space="preserve"> </w:t>
      </w:r>
    </w:p>
    <w:p w:rsidR="00000000" w:rsidDel="00000000" w:rsidP="00000000" w:rsidRDefault="00000000" w:rsidRPr="00000000" w14:paraId="000000DE">
      <w:pPr>
        <w:numPr>
          <w:ilvl w:val="0"/>
          <w:numId w:val="25"/>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bCs w:val="1"/>
          <w:sz w:val="24"/>
          <w:szCs w:val="24"/>
          <w:rtl w:val="0"/>
        </w:rPr>
        <w:t xml:space="preserve">Proposta:</w:t>
      </w:r>
      <w:r w:rsidDel="00000000" w:rsidR="00000000" w:rsidRPr="00000000">
        <w:rPr>
          <w:sz w:val="24"/>
          <w:szCs w:val="24"/>
          <w:rtl w:val="0"/>
        </w:rPr>
        <w:t xml:space="preserve"> A proposta do projeto é analisar os dados públicos do SCR.data para entender melhor aspectos relacionados ao crédito no Brasil. A intenção é observar como os dados podem revelar padrões sobre concessão, evolução e possíveis comportamentos do crédito, gerando uma visão inicial que sirva como apoio para análises futuras mais aprofundadas. O estudo também busca mostrar como bases públicas podem ser usadas em projetos de Ciência de Dados com foco em problemas reais.</w:t>
      </w:r>
      <w:r w:rsidDel="00000000" w:rsidR="00000000" w:rsidRPr="00000000">
        <w:rPr>
          <w:sz w:val="24"/>
          <w:szCs w:val="24"/>
          <w:shd w:fill="c6c6c6" w:val="clear"/>
          <w:rtl w:val="0"/>
        </w:rPr>
        <w:t xml:space="preserve"> </w:t>
      </w:r>
    </w:p>
    <w:p w:rsidR="00000000" w:rsidDel="00000000" w:rsidP="00000000" w:rsidRDefault="00000000" w:rsidRPr="00000000" w14:paraId="000000DF">
      <w:pPr>
        <w:numPr>
          <w:ilvl w:val="0"/>
          <w:numId w:val="39"/>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bCs w:val="1"/>
          <w:sz w:val="24"/>
          <w:szCs w:val="24"/>
          <w:rtl w:val="0"/>
        </w:rPr>
        <w:t xml:space="preserve">Problemas ou fenômenos registrados:</w:t>
      </w:r>
      <w:r w:rsidDel="00000000" w:rsidR="00000000" w:rsidRPr="00000000">
        <w:rPr>
          <w:sz w:val="24"/>
          <w:szCs w:val="24"/>
          <w:rtl w:val="0"/>
        </w:rPr>
        <w:t xml:space="preserve"> Entre os fenômenos que podem ser observados na base estão a evolução das operações de crédito ao longo do tempo, possíveis variações por tipo de informação disponível, comportamento agregado das operações e indícios relacionados ao endividamento e inadimplência. Esses dados podem ajudar a entender melhor como o crédito se comporta em diferentes períodos e como esse tipo de informação pode ser útil em análises econômicas e financeiras.</w:t>
      </w:r>
      <w:r w:rsidDel="00000000" w:rsidR="00000000" w:rsidRPr="00000000">
        <w:rPr>
          <w:sz w:val="24"/>
          <w:szCs w:val="24"/>
          <w:shd w:fill="c6c6c6" w:val="clear"/>
          <w:rtl w:val="0"/>
        </w:rPr>
        <w:t xml:space="preserve"> </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360" w:firstLine="0"/>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color w:val="0f4761"/>
          <w:sz w:val="32"/>
          <w:szCs w:val="32"/>
          <w:shd w:fill="c6c6c6" w:val="clear"/>
        </w:rPr>
      </w:pPr>
      <w:r w:rsidDel="00000000" w:rsidR="00000000" w:rsidRPr="00000000">
        <w:rPr>
          <w:color w:val="0f4761"/>
          <w:sz w:val="32"/>
          <w:szCs w:val="32"/>
          <w:rtl w:val="0"/>
        </w:rPr>
        <w:t xml:space="preserve">4. Cronograma de Atividades</w:t>
      </w:r>
      <w:r w:rsidDel="00000000" w:rsidR="00000000" w:rsidRPr="00000000">
        <w:rPr>
          <w:color w:val="0f4761"/>
          <w:sz w:val="32"/>
          <w:szCs w:val="32"/>
          <w:shd w:fill="c6c6c6" w:val="clear"/>
          <w:rtl w:val="0"/>
        </w:rPr>
        <w:t xml:space="preserve"> </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color w:val="0f4761"/>
          <w:sz w:val="32"/>
          <w:szCs w:val="32"/>
          <w:shd w:fill="c6c6c6" w:val="clear"/>
          <w:rtl w:val="0"/>
        </w:rPr>
        <w:br w:type="textWrapping"/>
      </w:r>
      <w:r w:rsidDel="00000000" w:rsidR="00000000" w:rsidRPr="00000000">
        <w:rPr>
          <w:sz w:val="24"/>
          <w:szCs w:val="24"/>
          <w:rtl w:val="0"/>
        </w:rPr>
        <w:t xml:space="preserve">O cronograma de atividades do projeto foi elaborado pelo grupo e está disponível no repositório GitHub no link a seguir: </w:t>
      </w:r>
      <w:hyperlink r:id="rId9">
        <w:r w:rsidDel="00000000" w:rsidR="00000000" w:rsidRPr="00000000">
          <w:rPr>
            <w:color w:val="467886"/>
            <w:sz w:val="24"/>
            <w:szCs w:val="24"/>
            <w:u w:val="single"/>
            <w:rtl w:val="0"/>
          </w:rPr>
          <w:t xml:space="preserve">https://github.com/Ecallado/PROJETO-APLICADO-1/blob/main/DOC/01_planejamento/Cronograma%20-%20V210326.xlsx</w:t>
        </w:r>
      </w:hyperlink>
      <w:r w:rsidDel="00000000" w:rsidR="00000000" w:rsidRPr="00000000">
        <w:rPr>
          <w:sz w:val="24"/>
          <w:szCs w:val="24"/>
          <w:shd w:fill="c6c6c6" w:val="clear"/>
          <w:rtl w:val="0"/>
        </w:rPr>
        <w:t xml:space="preserve"> </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rtl w:val="0"/>
        </w:rPr>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color w:val="0f4761"/>
          <w:sz w:val="32"/>
          <w:szCs w:val="32"/>
          <w:shd w:fill="c6c6c6" w:val="clear"/>
        </w:rPr>
      </w:pPr>
      <w:r w:rsidDel="00000000" w:rsidR="00000000" w:rsidRPr="00000000">
        <w:rPr>
          <w:color w:val="0f4761"/>
          <w:sz w:val="32"/>
          <w:szCs w:val="32"/>
          <w:rtl w:val="0"/>
        </w:rPr>
        <w:t xml:space="preserve">5. Referências</w:t>
      </w:r>
      <w:r w:rsidDel="00000000" w:rsidR="00000000" w:rsidRPr="00000000">
        <w:rPr>
          <w:color w:val="0f4761"/>
          <w:sz w:val="32"/>
          <w:szCs w:val="32"/>
          <w:shd w:fill="c6c6c6" w:val="clear"/>
          <w:rtl w:val="0"/>
        </w:rPr>
        <w:t xml:space="preserve"> </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i w:val="1"/>
          <w:iCs w:val="1"/>
          <w:sz w:val="24"/>
          <w:szCs w:val="24"/>
          <w:rtl w:val="0"/>
        </w:rPr>
        <w:t xml:space="preserve">BANCO CENTRAL DO BRASIL. SCR.data. Portal de Dados Abertos do Banco Central do Brasil. Disponível em: </w:t>
      </w:r>
      <w:hyperlink r:id="rId10">
        <w:r w:rsidDel="00000000" w:rsidR="00000000" w:rsidRPr="00000000">
          <w:rPr>
            <w:i w:val="1"/>
            <w:iCs w:val="1"/>
            <w:color w:val="467886"/>
            <w:sz w:val="24"/>
            <w:szCs w:val="24"/>
            <w:u w:val="single"/>
            <w:rtl w:val="0"/>
          </w:rPr>
          <w:t xml:space="preserve">https://dadosabertos.bcb.gov.br/dataset/scr_data</w:t>
        </w:r>
      </w:hyperlink>
      <w:r w:rsidDel="00000000" w:rsidR="00000000" w:rsidRPr="00000000">
        <w:rPr>
          <w:i w:val="1"/>
          <w:iCs w:val="1"/>
          <w:sz w:val="24"/>
          <w:szCs w:val="24"/>
          <w:rtl w:val="0"/>
        </w:rPr>
        <w:t xml:space="preserve">. Acesso em: 16 mar. 2026.</w:t>
      </w:r>
      <w:r w:rsidDel="00000000" w:rsidR="00000000" w:rsidRPr="00000000">
        <w:rPr>
          <w:sz w:val="24"/>
          <w:szCs w:val="24"/>
          <w:shd w:fill="c6c6c6" w:val="clear"/>
          <w:rtl w:val="0"/>
        </w:rPr>
        <w:t xml:space="preserve"> </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rtl w:val="0"/>
        </w:rPr>
        <w:t xml:space="preserve">BANCO CENTRAL DO BRASIL. </w:t>
      </w:r>
      <w:r w:rsidDel="00000000" w:rsidR="00000000" w:rsidRPr="00000000">
        <w:rPr>
          <w:i w:val="1"/>
          <w:iCs w:val="1"/>
          <w:sz w:val="24"/>
          <w:szCs w:val="24"/>
          <w:rtl w:val="0"/>
        </w:rPr>
        <w:t xml:space="preserve">Metodologia do SCR.data</w:t>
      </w:r>
      <w:r w:rsidDel="00000000" w:rsidR="00000000" w:rsidRPr="00000000">
        <w:rPr>
          <w:sz w:val="24"/>
          <w:szCs w:val="24"/>
          <w:rtl w:val="0"/>
        </w:rPr>
        <w:t xml:space="preserve">. Disponível em: </w:t>
      </w:r>
      <w:hyperlink r:id="rId11">
        <w:r w:rsidDel="00000000" w:rsidR="00000000" w:rsidRPr="00000000">
          <w:rPr>
            <w:color w:val="467886"/>
            <w:sz w:val="24"/>
            <w:szCs w:val="24"/>
            <w:u w:val="single"/>
            <w:rtl w:val="0"/>
          </w:rPr>
          <w:t xml:space="preserve">https://www.bcb.gov.br/pda/desig/metodologia_versao2.pdf</w:t>
        </w:r>
      </w:hyperlink>
      <w:r w:rsidDel="00000000" w:rsidR="00000000" w:rsidRPr="00000000">
        <w:rPr>
          <w:sz w:val="24"/>
          <w:szCs w:val="24"/>
          <w:rtl w:val="0"/>
        </w:rPr>
        <w:t xml:space="preserve">. Acesso em: 16 mar. 2026.</w:t>
      </w:r>
      <w:r w:rsidDel="00000000" w:rsidR="00000000" w:rsidRPr="00000000">
        <w:rPr>
          <w:sz w:val="24"/>
          <w:szCs w:val="24"/>
          <w:shd w:fill="c6c6c6" w:val="clear"/>
          <w:rtl w:val="0"/>
        </w:rPr>
        <w:t xml:space="preserve"> </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rtl w:val="0"/>
        </w:rPr>
        <w:t xml:space="preserve">BANCO CENTRAL DO BRASIL. </w:t>
      </w:r>
      <w:r w:rsidDel="00000000" w:rsidR="00000000" w:rsidRPr="00000000">
        <w:rPr>
          <w:i w:val="1"/>
          <w:iCs w:val="1"/>
          <w:sz w:val="24"/>
          <w:szCs w:val="24"/>
          <w:rtl w:val="0"/>
        </w:rPr>
        <w:t xml:space="preserve">SCR.data: metodologia</w:t>
      </w:r>
      <w:r w:rsidDel="00000000" w:rsidR="00000000" w:rsidRPr="00000000">
        <w:rPr>
          <w:sz w:val="24"/>
          <w:szCs w:val="24"/>
          <w:rtl w:val="0"/>
        </w:rPr>
        <w:t xml:space="preserve">. Disponível em: </w:t>
      </w:r>
      <w:hyperlink r:id="rId12">
        <w:r w:rsidDel="00000000" w:rsidR="00000000" w:rsidRPr="00000000">
          <w:rPr>
            <w:color w:val="467886"/>
            <w:sz w:val="24"/>
            <w:szCs w:val="24"/>
            <w:u w:val="single"/>
            <w:rtl w:val="0"/>
          </w:rPr>
          <w:t xml:space="preserve">https://www.bcb.gov.br/content/estabilidadefinanceira/scr/scr.data/scr_data_metodologia.pdf</w:t>
        </w:r>
      </w:hyperlink>
      <w:r w:rsidDel="00000000" w:rsidR="00000000" w:rsidRPr="00000000">
        <w:rPr>
          <w:sz w:val="24"/>
          <w:szCs w:val="24"/>
          <w:rtl w:val="0"/>
        </w:rPr>
        <w:t xml:space="preserve">. Acesso em: 16 mar. 2026.</w:t>
      </w:r>
      <w:r w:rsidDel="00000000" w:rsidR="00000000" w:rsidRPr="00000000">
        <w:rPr>
          <w:sz w:val="24"/>
          <w:szCs w:val="24"/>
          <w:shd w:fill="c6c6c6" w:val="clear"/>
          <w:rtl w:val="0"/>
        </w:rPr>
        <w:t xml:space="preserve"> </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rtl w:val="0"/>
        </w:rPr>
        <w:t xml:space="preserve">Organização das Nações Unidas. </w:t>
      </w:r>
      <w:r w:rsidDel="00000000" w:rsidR="00000000" w:rsidRPr="00000000">
        <w:rPr>
          <w:i w:val="1"/>
          <w:iCs w:val="1"/>
          <w:sz w:val="24"/>
          <w:szCs w:val="24"/>
          <w:rtl w:val="0"/>
        </w:rPr>
        <w:t xml:space="preserve">Objetivos de Desenvolvimento Sustentável no Brasil</w:t>
      </w:r>
      <w:r w:rsidDel="00000000" w:rsidR="00000000" w:rsidRPr="00000000">
        <w:rPr>
          <w:sz w:val="24"/>
          <w:szCs w:val="24"/>
          <w:rtl w:val="0"/>
        </w:rPr>
        <w:t xml:space="preserve">. Disponível em: </w:t>
      </w:r>
      <w:hyperlink r:id="rId13">
        <w:r w:rsidDel="00000000" w:rsidR="00000000" w:rsidRPr="00000000">
          <w:rPr>
            <w:color w:val="467886"/>
            <w:sz w:val="24"/>
            <w:szCs w:val="24"/>
            <w:u w:val="single"/>
            <w:rtl w:val="0"/>
          </w:rPr>
          <w:t xml:space="preserve">https://brasil.un.org/pt-br/sdgs</w:t>
        </w:r>
      </w:hyperlink>
      <w:r w:rsidDel="00000000" w:rsidR="00000000" w:rsidRPr="00000000">
        <w:rPr>
          <w:sz w:val="24"/>
          <w:szCs w:val="24"/>
          <w:rtl w:val="0"/>
        </w:rPr>
        <w:t xml:space="preserve">. Acesso em: 20 mar. 2026.</w:t>
      </w:r>
      <w:r w:rsidDel="00000000" w:rsidR="00000000" w:rsidRPr="00000000">
        <w:rPr>
          <w:sz w:val="24"/>
          <w:szCs w:val="24"/>
          <w:shd w:fill="c6c6c6" w:val="clear"/>
          <w:rtl w:val="0"/>
        </w:rPr>
        <w:t xml:space="preserve"> </w:t>
      </w:r>
    </w:p>
    <w:p w:rsidR="00000000" w:rsidDel="00000000" w:rsidP="00000000" w:rsidRDefault="00000000" w:rsidRPr="00000000" w14:paraId="000000E9">
      <w:pPr>
        <w:jc w:val="lef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bcb.gov.br/pda/desig/metodologia_versao2.pdf" TargetMode="External"/><Relationship Id="rId10" Type="http://schemas.openxmlformats.org/officeDocument/2006/relationships/hyperlink" Target="https://dadosabertos.bcb.gov.br/dataset/scr_data" TargetMode="External"/><Relationship Id="rId13" Type="http://schemas.openxmlformats.org/officeDocument/2006/relationships/hyperlink" Target="https://brasil.un.org/pt-br/sdgs" TargetMode="External"/><Relationship Id="rId12" Type="http://schemas.openxmlformats.org/officeDocument/2006/relationships/hyperlink" Target="https://www.bcb.gov.br/content/estabilidadefinanceira/scr/scr.data/scr_data_metodologia.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Ecallado/PROJETO-APLICADO-1/blob/main/DOC/01_planejamento/Cronograma%20-%20V210326.xlsx"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github.com/Ecallado/PROJETO-APLICADO-1.git"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