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color w:val="0f4761"/>
          <w:sz w:val="40"/>
          <w:szCs w:val="40"/>
          <w:shd w:fill="c6c6c6" w:val="clear"/>
        </w:rPr>
      </w:pPr>
      <w:r w:rsidDel="00000000" w:rsidR="00000000" w:rsidRPr="00000000">
        <w:rPr>
          <w:color w:val="0f4761"/>
          <w:sz w:val="40"/>
          <w:szCs w:val="40"/>
          <w:rtl w:val="0"/>
        </w:rPr>
        <w:t xml:space="preserve">Explorando os Dados de Crédito do Banco Central (SCR)</w:t>
      </w:r>
      <w:r w:rsidDel="00000000" w:rsidR="00000000" w:rsidRPr="00000000">
        <w:rPr>
          <w:color w:val="0f4761"/>
          <w:sz w:val="40"/>
          <w:szCs w:val="40"/>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Pr>
        <w:drawing>
          <wp:inline distB="114300" distT="114300" distL="114300" distR="114300">
            <wp:extent cx="3149600" cy="15621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1496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rtl w:val="0"/>
        </w:rPr>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11">
      <w:pPr>
        <w:numPr>
          <w:ilvl w:val="0"/>
          <w:numId w:val="3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Nome da empresa:</w:t>
      </w:r>
      <w:r w:rsidDel="00000000" w:rsidR="00000000" w:rsidRPr="00000000">
        <w:rPr>
          <w:sz w:val="24"/>
          <w:szCs w:val="24"/>
          <w:rtl w:val="0"/>
        </w:rPr>
        <w:t xml:space="preserve"> BANCO CENTRAL DO BRASIL</w:t>
      </w:r>
      <w:r w:rsidDel="00000000" w:rsidR="00000000" w:rsidRPr="00000000">
        <w:rPr>
          <w:sz w:val="24"/>
          <w:szCs w:val="24"/>
          <w:shd w:fill="c6c6c6" w:val="clear"/>
          <w:rtl w:val="0"/>
        </w:rPr>
        <w:t xml:space="preserve"> </w:t>
      </w:r>
    </w:p>
    <w:p w:rsidR="00000000" w:rsidDel="00000000" w:rsidP="00000000" w:rsidRDefault="00000000" w:rsidRPr="00000000" w14:paraId="00000012">
      <w:pPr>
        <w:numPr>
          <w:ilvl w:val="0"/>
          <w:numId w:val="1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Número do grupo:</w:t>
      </w:r>
      <w:r w:rsidDel="00000000" w:rsidR="00000000" w:rsidRPr="00000000">
        <w:rPr>
          <w:sz w:val="24"/>
          <w:szCs w:val="24"/>
          <w:rtl w:val="0"/>
        </w:rPr>
        <w:t xml:space="preserve"> GRUPO 8</w:t>
      </w:r>
      <w:r w:rsidDel="00000000" w:rsidR="00000000" w:rsidRPr="00000000">
        <w:rPr>
          <w:sz w:val="24"/>
          <w:szCs w:val="24"/>
          <w:shd w:fill="c6c6c6" w:val="clear"/>
          <w:rtl w:val="0"/>
        </w:rPr>
        <w:t xml:space="preserve"> </w:t>
      </w:r>
    </w:p>
    <w:p w:rsidR="00000000" w:rsidDel="00000000" w:rsidP="00000000" w:rsidRDefault="00000000" w:rsidRPr="00000000" w14:paraId="00000013">
      <w:pPr>
        <w:numPr>
          <w:ilvl w:val="0"/>
          <w:numId w:val="1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Integrantes:</w:t>
      </w:r>
      <w:r w:rsidDel="00000000" w:rsidR="00000000" w:rsidRPr="00000000">
        <w:rPr>
          <w:sz w:val="24"/>
          <w:szCs w:val="24"/>
          <w:shd w:fill="c6c6c6" w:val="clear"/>
          <w:rtl w:val="0"/>
        </w:rPr>
        <w:t xml:space="preserve"> </w:t>
      </w:r>
    </w:p>
    <w:p w:rsidR="00000000" w:rsidDel="00000000" w:rsidP="00000000" w:rsidRDefault="00000000" w:rsidRPr="00000000" w14:paraId="00000014">
      <w:pPr>
        <w:numPr>
          <w:ilvl w:val="0"/>
          <w:numId w:val="8"/>
        </w:numPr>
        <w:pBdr>
          <w:top w:color="auto" w:space="0" w:sz="0" w:val="none"/>
          <w:bottom w:color="auto" w:space="0" w:sz="0" w:val="none"/>
          <w:right w:color="auto" w:space="0" w:sz="0" w:val="none"/>
          <w:between w:color="auto" w:space="0" w:sz="0" w:val="none"/>
        </w:pBdr>
        <w:ind w:left="1800" w:hanging="360"/>
        <w:rPr>
          <w:rFonts w:ascii="Arial" w:cs="Arial" w:eastAsia="Arial" w:hAnsi="Arial"/>
          <w:sz w:val="20"/>
          <w:szCs w:val="20"/>
        </w:rPr>
      </w:pPr>
      <w:r w:rsidDel="00000000" w:rsidR="00000000" w:rsidRPr="00000000">
        <w:rPr>
          <w:sz w:val="20"/>
          <w:szCs w:val="20"/>
          <w:rtl w:val="0"/>
        </w:rPr>
        <w:t xml:space="preserve">EDUARDO PEREIRA CALLADO NETO - 10750949 - eduardo.callado@mackenzista.com.br</w:t>
      </w:r>
      <w:r w:rsidDel="00000000" w:rsidR="00000000" w:rsidRPr="00000000">
        <w:rPr>
          <w:sz w:val="20"/>
          <w:szCs w:val="20"/>
          <w:shd w:fill="c6c6c6" w:val="clear"/>
          <w:rtl w:val="0"/>
        </w:rPr>
        <w:t xml:space="preserve"> </w:t>
      </w:r>
    </w:p>
    <w:p w:rsidR="00000000" w:rsidDel="00000000" w:rsidP="00000000" w:rsidRDefault="00000000" w:rsidRPr="00000000" w14:paraId="00000015">
      <w:pPr>
        <w:numPr>
          <w:ilvl w:val="0"/>
          <w:numId w:val="31"/>
        </w:numPr>
        <w:pBdr>
          <w:top w:color="auto" w:space="0" w:sz="0" w:val="none"/>
          <w:bottom w:color="auto" w:space="0" w:sz="0" w:val="none"/>
          <w:right w:color="auto" w:space="0" w:sz="0" w:val="none"/>
          <w:between w:color="auto" w:space="0" w:sz="0" w:val="none"/>
        </w:pBdr>
        <w:ind w:left="1800" w:hanging="360"/>
        <w:rPr>
          <w:rFonts w:ascii="Arial" w:cs="Arial" w:eastAsia="Arial" w:hAnsi="Arial"/>
          <w:sz w:val="20"/>
          <w:szCs w:val="20"/>
        </w:rPr>
      </w:pPr>
      <w:r w:rsidDel="00000000" w:rsidR="00000000" w:rsidRPr="00000000">
        <w:rPr>
          <w:sz w:val="20"/>
          <w:szCs w:val="20"/>
          <w:rtl w:val="0"/>
        </w:rPr>
        <w:t xml:space="preserve">JAQUELINE DE OLIVEIRA ALVES - 10755023 - jaquelineoliveira.alves@mackenzista.com.br</w:t>
      </w:r>
      <w:r w:rsidDel="00000000" w:rsidR="00000000" w:rsidRPr="00000000">
        <w:rPr>
          <w:sz w:val="20"/>
          <w:szCs w:val="20"/>
          <w:shd w:fill="c6c6c6" w:val="clear"/>
          <w:rtl w:val="0"/>
        </w:rPr>
        <w:t xml:space="preserve"> </w:t>
      </w:r>
    </w:p>
    <w:p w:rsidR="00000000" w:rsidDel="00000000" w:rsidP="00000000" w:rsidRDefault="00000000" w:rsidRPr="00000000" w14:paraId="00000016">
      <w:pPr>
        <w:numPr>
          <w:ilvl w:val="0"/>
          <w:numId w:val="34"/>
        </w:numPr>
        <w:pBdr>
          <w:top w:color="auto" w:space="0" w:sz="0" w:val="none"/>
          <w:bottom w:color="auto" w:space="0" w:sz="0" w:val="none"/>
          <w:right w:color="auto" w:space="0" w:sz="0" w:val="none"/>
          <w:between w:color="auto" w:space="0" w:sz="0" w:val="none"/>
        </w:pBdr>
        <w:ind w:left="1800" w:hanging="360"/>
        <w:rPr>
          <w:rFonts w:ascii="Arial" w:cs="Arial" w:eastAsia="Arial" w:hAnsi="Arial"/>
          <w:sz w:val="20"/>
          <w:szCs w:val="20"/>
        </w:rPr>
      </w:pPr>
      <w:r w:rsidDel="00000000" w:rsidR="00000000" w:rsidRPr="00000000">
        <w:rPr>
          <w:sz w:val="20"/>
          <w:szCs w:val="20"/>
          <w:rtl w:val="0"/>
        </w:rPr>
        <w:t xml:space="preserve">LUCAS DE LIMA MENDES – 10756562 – 10756562@mackenzista.com.br</w:t>
      </w:r>
      <w:r w:rsidDel="00000000" w:rsidR="00000000" w:rsidRPr="00000000">
        <w:rPr>
          <w:sz w:val="20"/>
          <w:szCs w:val="20"/>
          <w:shd w:fill="c6c6c6" w:val="clear"/>
          <w:rtl w:val="0"/>
        </w:rPr>
        <w:t xml:space="preserve"> </w:t>
      </w:r>
    </w:p>
    <w:p w:rsidR="00000000" w:rsidDel="00000000" w:rsidP="00000000" w:rsidRDefault="00000000" w:rsidRPr="00000000" w14:paraId="00000017">
      <w:pPr>
        <w:numPr>
          <w:ilvl w:val="0"/>
          <w:numId w:val="30"/>
        </w:numPr>
        <w:pBdr>
          <w:top w:color="auto" w:space="0" w:sz="0" w:val="none"/>
          <w:bottom w:color="auto" w:space="0" w:sz="0" w:val="none"/>
          <w:right w:color="auto" w:space="0" w:sz="0" w:val="none"/>
          <w:between w:color="auto" w:space="0" w:sz="0" w:val="none"/>
        </w:pBdr>
        <w:ind w:left="1800" w:hanging="360"/>
        <w:rPr>
          <w:rFonts w:ascii="Arial" w:cs="Arial" w:eastAsia="Arial" w:hAnsi="Arial"/>
          <w:sz w:val="20"/>
          <w:szCs w:val="20"/>
        </w:rPr>
      </w:pPr>
      <w:r w:rsidDel="00000000" w:rsidR="00000000" w:rsidRPr="00000000">
        <w:rPr>
          <w:sz w:val="20"/>
          <w:szCs w:val="20"/>
          <w:rtl w:val="0"/>
        </w:rPr>
        <w:t xml:space="preserve">KEVIN</w:t>
      </w:r>
      <w:r w:rsidDel="00000000" w:rsidR="00000000" w:rsidRPr="00000000">
        <w:rPr>
          <w:sz w:val="20"/>
          <w:szCs w:val="20"/>
          <w:shd w:fill="c6c6c6" w:val="clear"/>
          <w:rtl w:val="0"/>
        </w:rPr>
        <w:t xml:space="preserve"> </w:t>
      </w:r>
    </w:p>
    <w:p w:rsidR="00000000" w:rsidDel="00000000" w:rsidP="00000000" w:rsidRDefault="00000000" w:rsidRPr="00000000" w14:paraId="00000018">
      <w:pPr>
        <w:numPr>
          <w:ilvl w:val="0"/>
          <w:numId w:val="5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Link GitHub:</w:t>
      </w:r>
      <w:r w:rsidDel="00000000" w:rsidR="00000000" w:rsidRPr="00000000">
        <w:rPr>
          <w:sz w:val="24"/>
          <w:szCs w:val="24"/>
          <w:rtl w:val="0"/>
        </w:rPr>
        <w:t xml:space="preserve"> </w:t>
      </w:r>
      <w:hyperlink r:id="rId7">
        <w:r w:rsidDel="00000000" w:rsidR="00000000" w:rsidRPr="00000000">
          <w:rPr>
            <w:color w:val="467886"/>
            <w:sz w:val="24"/>
            <w:szCs w:val="24"/>
            <w:u w:val="single"/>
            <w:rtl w:val="0"/>
          </w:rPr>
          <w:t xml:space="preserve">https://github.com/Ecallado/PROJETO-APLICADO-1.git</w:t>
        </w:r>
      </w:hyperlink>
      <w:r w:rsidDel="00000000" w:rsidR="00000000" w:rsidRPr="00000000">
        <w:rPr>
          <w:sz w:val="24"/>
          <w:szCs w:val="24"/>
          <w:shd w:fill="c6c6c6" w:val="clear"/>
          <w:rtl w:val="0"/>
        </w:rPr>
        <w:t xml:space="preserve"> </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rPr>
          <w:color w:val="0f4761"/>
          <w:sz w:val="32"/>
          <w:szCs w:val="32"/>
          <w:shd w:fill="c6c6c6" w:val="clear"/>
        </w:rPr>
      </w:pPr>
      <w:r w:rsidDel="00000000" w:rsidR="00000000" w:rsidRPr="00000000">
        <w:rPr>
          <w:sz w:val="24"/>
          <w:szCs w:val="24"/>
          <w:shd w:fill="c6c6c6" w:val="clear"/>
          <w:rtl w:val="0"/>
        </w:rPr>
        <w:t xml:space="preserve"> </w:t>
      </w:r>
      <w:r w:rsidDel="00000000" w:rsidR="00000000" w:rsidRPr="00000000">
        <w:rPr>
          <w:rtl w:val="0"/>
        </w:rPr>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after="100" w:lineRule="auto"/>
        <w:rPr>
          <w:b w:val="1"/>
          <w:bCs w:val="1"/>
          <w:sz w:val="30"/>
          <w:szCs w:val="30"/>
        </w:rPr>
      </w:pPr>
      <w:r w:rsidDel="00000000" w:rsidR="00000000" w:rsidRPr="00000000">
        <w:rPr>
          <w:color w:val="467886"/>
          <w:sz w:val="24"/>
          <w:szCs w:val="24"/>
          <w:u w:val="single"/>
          <w:rtl w:val="0"/>
        </w:rPr>
        <w:t xml:space="preserve">​</w:t>
      </w:r>
      <w:r w:rsidDel="00000000" w:rsidR="00000000" w:rsidRPr="00000000">
        <w:rPr>
          <w:b w:val="1"/>
          <w:bCs w:val="1"/>
          <w:color w:val="0f4761"/>
          <w:sz w:val="32"/>
          <w:szCs w:val="32"/>
          <w:rtl w:val="0"/>
        </w:rPr>
        <w:t xml:space="preserve">Sumário</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Introdução</w:t>
      </w:r>
    </w:p>
    <w:p w:rsidR="00000000" w:rsidDel="00000000" w:rsidP="00000000" w:rsidRDefault="00000000" w:rsidRPr="00000000" w14:paraId="0000001C">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ffffff" w:val="clear"/>
        <w:spacing w:after="100" w:before="0" w:line="276" w:lineRule="auto"/>
        <w:ind w:left="0" w:right="0" w:firstLine="0"/>
        <w:rPr>
          <w:sz w:val="24"/>
          <w:szCs w:val="24"/>
        </w:rPr>
      </w:pPr>
      <w:r w:rsidDel="00000000" w:rsidR="00000000" w:rsidRPr="00000000">
        <w:rPr>
          <w:rtl w:val="0"/>
        </w:rPr>
      </w:r>
    </w:p>
    <w:p w:rsidR="00000000" w:rsidDel="00000000" w:rsidP="00000000" w:rsidRDefault="00000000" w:rsidRPr="00000000" w14:paraId="0000001D">
      <w:pPr>
        <w:numPr>
          <w:ilvl w:val="0"/>
          <w:numId w:val="23"/>
        </w:numPr>
        <w:ind w:left="72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Detalhamento da Empresa</w:t>
      </w:r>
    </w:p>
    <w:p w:rsidR="00000000" w:rsidDel="00000000" w:rsidP="00000000" w:rsidRDefault="00000000" w:rsidRPr="00000000" w14:paraId="0000001E">
      <w:pPr>
        <w:numPr>
          <w:ilvl w:val="0"/>
          <w:numId w:val="23"/>
        </w:numPr>
        <w:ind w:left="72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Contexto do Estudo</w:t>
      </w:r>
    </w:p>
    <w:p w:rsidR="00000000" w:rsidDel="00000000" w:rsidP="00000000" w:rsidRDefault="00000000" w:rsidRPr="00000000" w14:paraId="0000001F">
      <w:pPr>
        <w:numPr>
          <w:ilvl w:val="1"/>
          <w:numId w:val="23"/>
        </w:numPr>
        <w:ind w:left="144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Premissas do projeto</w:t>
      </w:r>
    </w:p>
    <w:p w:rsidR="00000000" w:rsidDel="00000000" w:rsidP="00000000" w:rsidRDefault="00000000" w:rsidRPr="00000000" w14:paraId="00000020">
      <w:pPr>
        <w:numPr>
          <w:ilvl w:val="1"/>
          <w:numId w:val="23"/>
        </w:numPr>
        <w:ind w:left="144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Objetivos e metas</w:t>
      </w:r>
    </w:p>
    <w:p w:rsidR="00000000" w:rsidDel="00000000" w:rsidP="00000000" w:rsidRDefault="00000000" w:rsidRPr="00000000" w14:paraId="00000021">
      <w:pPr>
        <w:numPr>
          <w:ilvl w:val="1"/>
          <w:numId w:val="23"/>
        </w:numPr>
        <w:ind w:left="144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Pensamento computacional aplicado em contextos organizacionais</w:t>
      </w:r>
    </w:p>
    <w:p w:rsidR="00000000" w:rsidDel="00000000" w:rsidP="00000000" w:rsidRDefault="00000000" w:rsidRPr="00000000" w14:paraId="00000022">
      <w:pPr>
        <w:numPr>
          <w:ilvl w:val="0"/>
          <w:numId w:val="23"/>
        </w:numPr>
        <w:ind w:left="72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Apresentação dos Dados (Metadados)</w:t>
        <w:br w:type="textWrapping"/>
        <w:t xml:space="preserve">3.1 Referências de Aquisição do Dataset</w:t>
        <w:br w:type="textWrapping"/>
        <w:t xml:space="preserve">3.2 Descrição da Origem</w:t>
        <w:br w:type="textWrapping"/>
        <w:t xml:space="preserve">3.3 Descrição do Dataset</w:t>
        <w:br w:type="textWrapping"/>
        <w:t xml:space="preserve">- Proposta</w:t>
        <w:br w:type="textWrapping"/>
        <w:t xml:space="preserve">- Problemas ou fenômenos registrados</w:t>
      </w:r>
    </w:p>
    <w:p w:rsidR="00000000" w:rsidDel="00000000" w:rsidP="00000000" w:rsidRDefault="00000000" w:rsidRPr="00000000" w14:paraId="00000023">
      <w:pPr>
        <w:numPr>
          <w:ilvl w:val="0"/>
          <w:numId w:val="23"/>
        </w:numPr>
        <w:ind w:left="72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Cronograma de Atividades</w:t>
      </w:r>
    </w:p>
    <w:p w:rsidR="00000000" w:rsidDel="00000000" w:rsidP="00000000" w:rsidRDefault="00000000" w:rsidRPr="00000000" w14:paraId="00000024">
      <w:pPr>
        <w:numPr>
          <w:ilvl w:val="0"/>
          <w:numId w:val="23"/>
        </w:numPr>
        <w:ind w:left="720" w:hanging="360"/>
        <w:rPr>
          <w:rFonts w:ascii="Arial" w:cs="Arial" w:eastAsia="Arial" w:hAnsi="Arial"/>
          <w:b w:val="0"/>
          <w:bCs w:val="0"/>
          <w:i w:val="0"/>
          <w:iCs w:val="0"/>
          <w:smallCaps w:val="0"/>
          <w:strike w:val="0"/>
          <w:color w:val="000000"/>
          <w:sz w:val="26"/>
          <w:szCs w:val="26"/>
          <w:shd w:fill="c6c6c6" w:val="clear"/>
          <w:vertAlign w:val="baseline"/>
        </w:rPr>
      </w:pPr>
      <w:r w:rsidDel="00000000" w:rsidR="00000000" w:rsidRPr="00000000">
        <w:rPr>
          <w:sz w:val="24"/>
          <w:szCs w:val="24"/>
          <w:rtl w:val="0"/>
        </w:rPr>
        <w:t xml:space="preserve">Referências</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rPr>
          <w:sz w:val="24"/>
          <w:szCs w:val="24"/>
          <w:shd w:fill="c6c6c6" w:val="clear"/>
        </w:rPr>
      </w:pPr>
      <w:r w:rsidDel="00000000" w:rsidR="00000000" w:rsidRPr="00000000">
        <w:rPr>
          <w:rtl w:val="0"/>
        </w:rPr>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color w:val="0f4761"/>
          <w:sz w:val="32"/>
          <w:szCs w:val="32"/>
          <w:shd w:fill="c6c6c6" w:val="clear"/>
        </w:rPr>
      </w:pPr>
      <w:r w:rsidDel="00000000" w:rsidR="00000000" w:rsidRPr="00000000">
        <w:rPr>
          <w:rtl w:val="0"/>
        </w:rPr>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pPr>
      <w:r w:rsidDel="00000000" w:rsidR="00000000" w:rsidRPr="00000000">
        <w:rPr>
          <w:color w:val="0f4761"/>
          <w:sz w:val="32"/>
          <w:szCs w:val="32"/>
          <w:rtl w:val="0"/>
        </w:rPr>
        <w:t xml:space="preserve">Lista de tabelas</w:t>
      </w:r>
      <w:r w:rsidDel="00000000" w:rsidR="00000000" w:rsidRPr="00000000">
        <w:rPr>
          <w:rtl w:val="0"/>
        </w:rPr>
      </w:r>
    </w:p>
    <w:p w:rsidR="00000000" w:rsidDel="00000000" w:rsidP="00000000" w:rsidRDefault="00000000" w:rsidRPr="00000000" w14:paraId="00000028">
      <w:pPr>
        <w:rPr>
          <w:sz w:val="24"/>
          <w:szCs w:val="24"/>
          <w:shd w:fill="c6c6c6" w:val="clear"/>
        </w:rPr>
      </w:pPr>
      <w:r w:rsidDel="00000000" w:rsidR="00000000" w:rsidRPr="00000000">
        <w:rPr>
          <w:rtl w:val="0"/>
        </w:rPr>
        <w:t xml:space="preserve">Tabela 1 – Descrição dos dados</w:t>
        <w:br w:type="textWrapping"/>
        <w:t xml:space="preserve">Tabela 2 – Segmentos das instituições financeiras</w:t>
      </w:r>
      <w:r w:rsidDel="00000000" w:rsidR="00000000" w:rsidRPr="00000000">
        <w:rPr>
          <w:rtl w:val="0"/>
        </w:rPr>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rtl w:val="0"/>
        </w:rPr>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rtl w:val="0"/>
        </w:rPr>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color w:val="0f4761"/>
          <w:sz w:val="40"/>
          <w:szCs w:val="40"/>
          <w:shd w:fill="c6c6c6" w:val="clear"/>
        </w:rPr>
      </w:pPr>
      <w:r w:rsidDel="00000000" w:rsidR="00000000" w:rsidRPr="00000000">
        <w:rPr>
          <w:sz w:val="24"/>
          <w:szCs w:val="24"/>
          <w:shd w:fill="c6c6c6" w:val="clear"/>
          <w:rtl w:val="0"/>
        </w:rPr>
        <w:t xml:space="preserve"> </w:t>
      </w:r>
      <w:r w:rsidDel="00000000" w:rsidR="00000000" w:rsidRPr="00000000">
        <w:rPr>
          <w:color w:val="0f4761"/>
          <w:sz w:val="40"/>
          <w:szCs w:val="40"/>
          <w:rtl w:val="0"/>
        </w:rPr>
        <w:t xml:space="preserve">Introdução </w:t>
      </w:r>
      <w:r w:rsidDel="00000000" w:rsidR="00000000" w:rsidRPr="00000000">
        <w:rPr>
          <w:color w:val="0f4761"/>
          <w:sz w:val="40"/>
          <w:szCs w:val="40"/>
          <w:shd w:fill="c6c6c6" w:val="clear"/>
          <w:rtl w:val="0"/>
        </w:rPr>
        <w:t xml:space="preserve"> </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Este trabalho tem como objetivo analisar dados do Sistema de Informações de Créditos (SCR), disponibilizados pelo Banco Central do Brasil, a fim de compreender o comportamento do crédito no país e sua relação com a estabilidade econômica e o desenvolvimento financeiro. A partir de uma base de dados aberta, estruturada e de caráter agregador, busca-se explorar informações relevantes sobre operações de crédito, perfil dos clientes e níveis de inadimplência.</w:t>
      </w:r>
      <w:r w:rsidDel="00000000" w:rsidR="00000000" w:rsidRPr="00000000">
        <w:rPr>
          <w:sz w:val="24"/>
          <w:szCs w:val="24"/>
          <w:shd w:fill="c6c6c6" w:val="clear"/>
          <w:rtl w:val="0"/>
        </w:rPr>
        <w:t xml:space="preserve"> </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360"/>
        <w:rPr>
          <w:sz w:val="24"/>
          <w:szCs w:val="24"/>
          <w:shd w:fill="c6c6c6" w:val="clear"/>
        </w:rPr>
      </w:pPr>
      <w:r w:rsidDel="00000000" w:rsidR="00000000" w:rsidRPr="00000000">
        <w:rPr>
          <w:sz w:val="24"/>
          <w:szCs w:val="24"/>
          <w:rtl w:val="0"/>
        </w:rPr>
        <w:t xml:space="preserve">Além disso, o estudo se insere em um contexto mais amplo, conectando-se a temas como crescimento econômico, inovação no sistema financeiro e redução das desigualdades, em consonância com os Objetivos de Desenvolvimento Sustentável (ODS). Dessa forma, a análise proposta contribui para uma melhor compreensão do papel do crédito na economia brasileira, utilizando conceitos de pensamento computacional e análise de dados aplicados ao contexto organizacional.</w:t>
      </w:r>
      <w:r w:rsidDel="00000000" w:rsidR="00000000" w:rsidRPr="00000000">
        <w:rPr>
          <w:sz w:val="24"/>
          <w:szCs w:val="24"/>
          <w:shd w:fill="c6c6c6" w:val="clear"/>
          <w:rtl w:val="0"/>
        </w:rPr>
        <w:t xml:space="preserve"> </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3A">
      <w:pPr>
        <w:numPr>
          <w:ilvl w:val="0"/>
          <w:numId w:val="59"/>
        </w:numPr>
        <w:pBdr>
          <w:top w:color="auto" w:space="0" w:sz="0" w:val="none"/>
          <w:bottom w:color="auto" w:space="0" w:sz="0" w:val="none"/>
          <w:right w:color="auto" w:space="0" w:sz="0" w:val="none"/>
          <w:between w:color="auto" w:space="0" w:sz="0" w:val="none"/>
        </w:pBdr>
        <w:ind w:left="720" w:hanging="360"/>
        <w:rPr>
          <w:sz w:val="32"/>
          <w:szCs w:val="32"/>
        </w:rPr>
      </w:pPr>
      <w:r w:rsidDel="00000000" w:rsidR="00000000" w:rsidRPr="00000000">
        <w:rPr>
          <w:color w:val="0f4761"/>
          <w:sz w:val="32"/>
          <w:szCs w:val="32"/>
          <w:rtl w:val="0"/>
        </w:rPr>
        <w:t xml:space="preserve">Detalhamento da Empresa</w:t>
      </w:r>
      <w:r w:rsidDel="00000000" w:rsidR="00000000" w:rsidRPr="00000000">
        <w:rPr>
          <w:color w:val="0f4761"/>
          <w:sz w:val="32"/>
          <w:szCs w:val="32"/>
          <w:shd w:fill="c6c6c6" w:val="clear"/>
          <w:rtl w:val="0"/>
        </w:rPr>
        <w:t xml:space="preserve"> </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O Banco Central atua como Autoridade Monetária, tendo como principais funções formular e executar a política monetária, com foco no controle da inflação, emitir papel-moeda, fiscalizar o sistema financeiro nacional, incluindo bancos, cooperativas e fintechs, e gerenciar o sistema de pagamentos, como o Pix. Seus clientes diretos são todas as instituições financeiras autorizadas a funcionar no Brasil, o que inclui milhares de bancos, cooperativas e administradoras de consórcio. Já como clientes indiretos, atende toda a população brasileira, por meio de serviços e sistemas como o gerenciamento de chaves Pix, a gestão de contas e o sistema de “Valores a Receber”.</w:t>
      </w:r>
      <w:r w:rsidDel="00000000" w:rsidR="00000000" w:rsidRPr="00000000">
        <w:rPr>
          <w:sz w:val="24"/>
          <w:szCs w:val="24"/>
          <w:shd w:fill="c6c6c6" w:val="clear"/>
          <w:rtl w:val="0"/>
        </w:rPr>
        <w:t xml:space="preserve"> </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Sua abrangência geográfica é nacional, com sede em Brasília e representações regionais distribuídas em capitais de todo o país. Em relação ao faturamento, o Banco Central não possui fins lucrativos, ou seja, não tem faturamento comercial. Ele opera com um orçamento próprio definido pelo Governo Federal, destinado ao custeio de suas atividades e investimentos. Além disso, é responsável pela gestão das reservas internacionais do Brasil, que somam centenas de bilhões de dólares.</w:t>
      </w:r>
      <w:r w:rsidDel="00000000" w:rsidR="00000000" w:rsidRPr="00000000">
        <w:rPr>
          <w:sz w:val="24"/>
          <w:szCs w:val="24"/>
          <w:shd w:fill="c6c6c6" w:val="clear"/>
          <w:rtl w:val="0"/>
        </w:rPr>
        <w:t xml:space="preserve"> </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Nesse contexto, o Banco Central do Brasil (BCB), por meio de iniciativas como o dataset SCR.data (Sistema de Informações de Créditos), apresenta uma conexão direta com importantes Objetivos de Desenvolvimento Sustentável (ODS) estabelecidos pela Organização das Nações Unidas.</w:t>
      </w:r>
      <w:r w:rsidDel="00000000" w:rsidR="00000000" w:rsidRPr="00000000">
        <w:rPr>
          <w:sz w:val="24"/>
          <w:szCs w:val="24"/>
          <w:shd w:fill="c6c6c6" w:val="clear"/>
          <w:rtl w:val="0"/>
        </w:rPr>
        <w:t xml:space="preserve"> </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Em primeiro lugar, destaca-se o ODS 8 – Trabalho Decente e Crescimento Econômico, que está diretamente alinhado à atuação central do BCB. A instituição é responsável por manter a estabilidade do poder de compra da moeda e promover a eficiência do sistema financeiro, contribuindo para um ambiente econômico mais estável e propício ao crescimento sustentável.</w:t>
      </w:r>
      <w:r w:rsidDel="00000000" w:rsidR="00000000" w:rsidRPr="00000000">
        <w:rPr>
          <w:sz w:val="24"/>
          <w:szCs w:val="24"/>
          <w:shd w:fill="c6c6c6" w:val="clear"/>
          <w:rtl w:val="0"/>
        </w:rPr>
        <w:t xml:space="preserve"> </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Além disso, o BCB também se relaciona com o ODS 9 – Indústria, Inovação e Infraestrutura, especialmente no que diz respeito à modernização e ampliação do acesso aos serviços financeiros. Iniciativas como o Pix e o Open Finance evidenciam o papel do Banco Central como impulsionador da inovação tecnológica no setor financeiro brasileiro.</w:t>
      </w:r>
      <w:r w:rsidDel="00000000" w:rsidR="00000000" w:rsidRPr="00000000">
        <w:rPr>
          <w:sz w:val="24"/>
          <w:szCs w:val="24"/>
          <w:shd w:fill="c6c6c6" w:val="clear"/>
          <w:rtl w:val="0"/>
        </w:rPr>
        <w:t xml:space="preserve"> </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Por fim, há uma conexão relevante com o ODS 10 – Redução das Desigualdades, considerando o foco da instituição na promoção da inclusão financeira e no acesso mais amplo da população aos serviços bancários. Nesse contexto, a Agenda BC#, baseada em pilares como inclusão, competitividade, transparência, educação e sustentabilidade, reforça o compromisso do Banco Central com a redução das desigualdades no país.</w:t>
      </w:r>
      <w:r w:rsidDel="00000000" w:rsidR="00000000" w:rsidRPr="00000000">
        <w:rPr>
          <w:sz w:val="24"/>
          <w:szCs w:val="24"/>
          <w:shd w:fill="c6c6c6" w:val="clear"/>
          <w:rtl w:val="0"/>
        </w:rPr>
        <w:t xml:space="preserve"> </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32"/>
          <w:szCs w:val="32"/>
          <w:shd w:fill="c6c6c6" w:val="clear"/>
        </w:rPr>
      </w:pPr>
      <w:r w:rsidDel="00000000" w:rsidR="00000000" w:rsidRPr="00000000">
        <w:rPr>
          <w:color w:val="0f4761"/>
          <w:sz w:val="32"/>
          <w:szCs w:val="32"/>
          <w:rtl w:val="0"/>
        </w:rPr>
        <w:t xml:space="preserve">2. Contexto do Estudo</w:t>
      </w:r>
      <w:r w:rsidDel="00000000" w:rsidR="00000000" w:rsidRPr="00000000">
        <w:rPr>
          <w:color w:val="0f4761"/>
          <w:sz w:val="32"/>
          <w:szCs w:val="32"/>
          <w:shd w:fill="c6c6c6" w:val="clear"/>
          <w:rtl w:val="0"/>
        </w:rPr>
        <w:t xml:space="preserve"> </w:t>
      </w:r>
    </w:p>
    <w:p w:rsidR="00000000" w:rsidDel="00000000" w:rsidP="00000000" w:rsidRDefault="00000000" w:rsidRPr="00000000" w14:paraId="00000043">
      <w:pPr>
        <w:numPr>
          <w:ilvl w:val="0"/>
          <w:numId w:val="1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Premissas do projeto: </w:t>
      </w:r>
      <w:r w:rsidDel="00000000" w:rsidR="00000000" w:rsidRPr="00000000">
        <w:rPr>
          <w:sz w:val="24"/>
          <w:szCs w:val="24"/>
          <w:rtl w:val="0"/>
        </w:rPr>
        <w:t xml:space="preserve">Este projeto parte da premissa de que os dados públicos disponibilizados pelo Banco Central do Brasil, por meio do SCR.data, são suficientes para apoiar uma análise inicial sobre o comportamento do crédito no país. Também se considera que a base escolhida possui relevância social e econômica, pois permite observar informações ligadas à concessão de crédito, inadimplência e perfil das operações. Outra premissa é que os dados disponíveis são agregados e públicos, o que viabiliza o uso acadêmico sem expor informações individuais.</w:t>
      </w:r>
      <w:r w:rsidDel="00000000" w:rsidR="00000000" w:rsidRPr="00000000">
        <w:rPr>
          <w:sz w:val="24"/>
          <w:szCs w:val="24"/>
          <w:shd w:fill="c6c6c6" w:val="clear"/>
          <w:rtl w:val="0"/>
        </w:rPr>
        <w:t xml:space="preserve"> </w:t>
      </w:r>
    </w:p>
    <w:p w:rsidR="00000000" w:rsidDel="00000000" w:rsidP="00000000" w:rsidRDefault="00000000" w:rsidRPr="00000000" w14:paraId="00000044">
      <w:pPr>
        <w:numPr>
          <w:ilvl w:val="0"/>
          <w:numId w:val="4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Objetivos e metas: </w:t>
      </w:r>
      <w:r w:rsidDel="00000000" w:rsidR="00000000" w:rsidRPr="00000000">
        <w:rPr>
          <w:sz w:val="24"/>
          <w:szCs w:val="24"/>
          <w:rtl w:val="0"/>
        </w:rPr>
        <w:t xml:space="preserve">O objetivo do projeto é desenvolver um estudo prático a partir dos dados públicos do Banco Central do Brasil, realizando uma análise exploratória da base escolhida e propondo uma aplicação analítica para geração de insights. Como metas, o grupo pretende organizar e compreender a base de dados, identificar os principais atributos e metadados, observar padrões e tendências relevantes e, ao final, apresentar uma proposta analítica que ajude a interpretar melhor o cenário estudado.</w:t>
      </w:r>
      <w:r w:rsidDel="00000000" w:rsidR="00000000" w:rsidRPr="00000000">
        <w:rPr>
          <w:sz w:val="24"/>
          <w:szCs w:val="24"/>
          <w:shd w:fill="c6c6c6" w:val="clear"/>
          <w:rtl w:val="0"/>
        </w:rPr>
        <w:t xml:space="preserve"> </w:t>
      </w:r>
    </w:p>
    <w:p w:rsidR="00000000" w:rsidDel="00000000" w:rsidP="00000000" w:rsidRDefault="00000000" w:rsidRPr="00000000" w14:paraId="00000045">
      <w:pPr>
        <w:numPr>
          <w:ilvl w:val="0"/>
          <w:numId w:val="2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Pensamento computacional aplicado em contextos organizacionais: </w:t>
      </w:r>
      <w:r w:rsidDel="00000000" w:rsidR="00000000" w:rsidRPr="00000000">
        <w:rPr>
          <w:sz w:val="24"/>
          <w:szCs w:val="24"/>
          <w:rtl w:val="0"/>
        </w:rPr>
        <w:t xml:space="preserve">O pensamento computacional aparece neste projeto na forma de organização lógica do problema, decomposição das etapas e análise estruturada dos dados. Primeiro, o grupo identifica o contexto organizacional e define qual problema deseja observar. Depois, separa o problema em partes menores, como coleta, entendimento dos metadados, organização da base e análise exploratória. A partir disso, busca padrões, compara informações e estrutura uma proposta analítica. Em um contexto organizacional, esse tipo de abordagem ajuda na tomada de decisão, porque permite transformar dados brutos em informação útil.</w:t>
      </w:r>
      <w:r w:rsidDel="00000000" w:rsidR="00000000" w:rsidRPr="00000000">
        <w:rPr>
          <w:sz w:val="24"/>
          <w:szCs w:val="24"/>
          <w:shd w:fill="c6c6c6" w:val="clear"/>
          <w:rtl w:val="0"/>
        </w:rPr>
        <w:t xml:space="preserve">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32"/>
          <w:szCs w:val="32"/>
          <w:shd w:fill="c6c6c6" w:val="clear"/>
        </w:rPr>
      </w:pPr>
      <w:r w:rsidDel="00000000" w:rsidR="00000000" w:rsidRPr="00000000">
        <w:rPr>
          <w:color w:val="0f4761"/>
          <w:sz w:val="32"/>
          <w:szCs w:val="32"/>
          <w:rtl w:val="0"/>
        </w:rPr>
        <w:t xml:space="preserve">3. Apresentação dos Dados (Metadados)</w:t>
      </w:r>
      <w:r w:rsidDel="00000000" w:rsidR="00000000" w:rsidRPr="00000000">
        <w:rPr>
          <w:color w:val="0f4761"/>
          <w:sz w:val="32"/>
          <w:szCs w:val="32"/>
          <w:shd w:fill="c6c6c6" w:val="clear"/>
          <w:rtl w:val="0"/>
        </w:rPr>
        <w:t xml:space="preserve"> </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color w:val="0f4761"/>
          <w:sz w:val="28"/>
          <w:szCs w:val="28"/>
          <w:rtl w:val="0"/>
        </w:rPr>
        <w:t xml:space="preserve">3.1 Referências de Aquisição do Dataset</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360"/>
        <w:rPr>
          <w:sz w:val="24"/>
          <w:szCs w:val="24"/>
          <w:shd w:fill="c6c6c6" w:val="clear"/>
        </w:rPr>
      </w:pPr>
      <w:r w:rsidDel="00000000" w:rsidR="00000000" w:rsidRPr="00000000">
        <w:rPr>
          <w:sz w:val="24"/>
          <w:szCs w:val="24"/>
          <w:rtl w:val="0"/>
        </w:rPr>
        <w:t xml:space="preserve">Os dados utilizados neste trabalho têm origem em bases mantidas pelo Banco Central do Brasil, sendo disponibilizados desde que não estejam sujeitos a restrições de acesso. Além disso, incluem informações do Sistema Financeiro Nacional, compostas por dados de interesse público não protegidos por sigilo. Esses dados são fornecidos em formato aberto por instituições financeiras e demais instituições autorizadas a funcionar pelo Banco Central, com o objetivo de promover maior competitividade, transparência e inovação no setor financeiro. Dessa forma, garantem acesso público a informações relevantes, possibilitando sua utilização em análises acadêmicas e estudos econômicos.</w:t>
      </w:r>
      <w:r w:rsidDel="00000000" w:rsidR="00000000" w:rsidRPr="00000000">
        <w:rPr>
          <w:sz w:val="24"/>
          <w:szCs w:val="24"/>
          <w:shd w:fill="c6c6c6" w:val="clear"/>
          <w:rtl w:val="0"/>
        </w:rPr>
        <w:t xml:space="preserve"> </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360"/>
        <w:rPr>
          <w:sz w:val="24"/>
          <w:szCs w:val="24"/>
          <w:shd w:fill="c6c6c6" w:val="clear"/>
        </w:rPr>
      </w:pPr>
      <w:r w:rsidDel="00000000" w:rsidR="00000000" w:rsidRPr="00000000">
        <w:rPr>
          <w:sz w:val="24"/>
          <w:szCs w:val="24"/>
          <w:rtl w:val="0"/>
        </w:rPr>
        <w:t xml:space="preserve">No que diz respeito às limitações de uso, os dados são apresentados de forma agregada, sem identificação individual, em conformidade com as normas de sigilo bancário. Seu uso é permitido para fins acadêmicos, desde que seja respeitada a correta interpretação metodológica e realizada a devida citação da fonte.</w:t>
      </w:r>
      <w:r w:rsidDel="00000000" w:rsidR="00000000" w:rsidRPr="00000000">
        <w:rPr>
          <w:sz w:val="24"/>
          <w:szCs w:val="24"/>
          <w:shd w:fill="c6c6c6" w:val="clear"/>
          <w:rtl w:val="0"/>
        </w:rPr>
        <w:t xml:space="preserve"> </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360"/>
        <w:rPr>
          <w:sz w:val="24"/>
          <w:szCs w:val="24"/>
          <w:shd w:fill="c6c6c6" w:val="clear"/>
        </w:rPr>
      </w:pPr>
      <w:r w:rsidDel="00000000" w:rsidR="00000000" w:rsidRPr="00000000">
        <w:rPr>
          <w:sz w:val="24"/>
          <w:szCs w:val="24"/>
          <w:rtl w:val="0"/>
        </w:rPr>
        <w:t xml:space="preserve">Por fim, os dados analisados referem-se ao período de janeiro de 2025 a novembro de 2025. A atualização do dataset ocorre mensalmente, sempre no último dia útil do mês, sendo os dados disponibilizados com uma defasagem de aproximadamente 30 dias em relação ao período de referência.</w:t>
      </w:r>
      <w:r w:rsidDel="00000000" w:rsidR="00000000" w:rsidRPr="00000000">
        <w:rPr>
          <w:sz w:val="24"/>
          <w:szCs w:val="24"/>
          <w:shd w:fill="c6c6c6" w:val="clear"/>
          <w:rtl w:val="0"/>
        </w:rPr>
        <w:t xml:space="preserve"> </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36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color w:val="0f4761"/>
          <w:sz w:val="28"/>
          <w:szCs w:val="28"/>
          <w:rtl w:val="0"/>
        </w:rPr>
        <w:t xml:space="preserve">3.2 Descrição da Origem</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O monitoramento do crédito por meio do Sistema de Informações de Créditos (SCR) contribui para a segurança e estabilidade do sistema financeiro, permitindo ao Banco Central do Brasil identificar riscos de inadimplência e superendividamento e, assim, atuar de forma preventiva na proteção da economia e na continuidade do fluxo de crédito.</w:t>
      </w:r>
      <w:r w:rsidDel="00000000" w:rsidR="00000000" w:rsidRPr="00000000">
        <w:rPr>
          <w:sz w:val="24"/>
          <w:szCs w:val="24"/>
          <w:shd w:fill="c6c6c6" w:val="clear"/>
          <w:rtl w:val="0"/>
        </w:rPr>
        <w:t xml:space="preserve">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Os dados utilizados são provenientes de bases mantidas pelo Banco Central, sendo disponibilizados desde que não estejam sujeitos a restrições de acesso. Também inclui informações do Sistema Financeiro Nacional, compostas por dados de interesse público não protegidos por sigilo, fornecidos em formato aberto por instituições financeiras e demais instituições autorizadas a funcionar pelo Banco Central.</w:t>
      </w:r>
      <w:r w:rsidDel="00000000" w:rsidR="00000000" w:rsidRPr="00000000">
        <w:rPr>
          <w:sz w:val="24"/>
          <w:szCs w:val="24"/>
          <w:shd w:fill="c6c6c6" w:val="clear"/>
          <w:rtl w:val="0"/>
        </w:rPr>
        <w:t xml:space="preserve"> </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Além disso, a organização e disponibilização desses dados de forma estruturada e transparente favorecem a inovação no setor financeiro, estimulando o desenvolvimento de novos modelos de análise de risco e o surgimento de fintechs, o que contribui para a modernização da infraestrutura financeira. Esses dados também auxiliam na formulação de políticas voltadas à educação financeira e à redução do endividamento, promovendo maior inclusão e acesso ao crédito.</w:t>
      </w:r>
      <w:r w:rsidDel="00000000" w:rsidR="00000000" w:rsidRPr="00000000">
        <w:rPr>
          <w:sz w:val="24"/>
          <w:szCs w:val="24"/>
          <w:shd w:fill="c6c6c6" w:val="clear"/>
          <w:rtl w:val="0"/>
        </w:rPr>
        <w:t xml:space="preserve"> </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rtl w:val="0"/>
        </w:rPr>
        <w:t xml:space="preserve">Por fim, a gestão do Portal de Dados Abertos é realizada pelo próprio Banco Central do Brasil, garantindo a confiabilidade, organização e acessibilidade das informações disponibilizadas.</w:t>
      </w:r>
      <w:r w:rsidDel="00000000" w:rsidR="00000000" w:rsidRPr="00000000">
        <w:rPr>
          <w:sz w:val="24"/>
          <w:szCs w:val="24"/>
          <w:shd w:fill="c6c6c6" w:val="clear"/>
          <w:rtl w:val="0"/>
        </w:rPr>
        <w:t xml:space="preserve">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0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28"/>
          <w:szCs w:val="28"/>
          <w:shd w:fill="c6c6c6" w:val="clear"/>
        </w:rPr>
      </w:pPr>
      <w:r w:rsidDel="00000000" w:rsidR="00000000" w:rsidRPr="00000000">
        <w:rPr>
          <w:color w:val="0f4761"/>
          <w:sz w:val="28"/>
          <w:szCs w:val="28"/>
          <w:rtl w:val="0"/>
        </w:rPr>
        <w:t xml:space="preserve">3.3 Descrição do Dataset</w:t>
      </w:r>
      <w:r w:rsidDel="00000000" w:rsidR="00000000" w:rsidRPr="00000000">
        <w:rPr>
          <w:color w:val="0f4761"/>
          <w:sz w:val="28"/>
          <w:szCs w:val="28"/>
          <w:shd w:fill="c6c6c6" w:val="clear"/>
          <w:rtl w:val="0"/>
        </w:rPr>
        <w:t xml:space="preserve"> </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O dataset SCR é a ferramenta técnica de monitoramento que impede crises sistêmicas e protege o cidadão comum, melhorando a regulamentação e o monitoramento dos mercados financeiros globais.</w:t>
      </w:r>
      <w:r w:rsidDel="00000000" w:rsidR="00000000" w:rsidRPr="00000000">
        <w:rPr>
          <w:sz w:val="24"/>
          <w:szCs w:val="24"/>
          <w:shd w:fill="c6c6c6" w:val="clear"/>
          <w:rtl w:val="0"/>
        </w:rPr>
        <w:t xml:space="preserve"> </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O SCR provê os dados necessários para que o BCB monitore a estabilidade do sistema e garanta a expansão do crédito, fortalecendo a capacidade das instituições financeiras nacionais.</w:t>
      </w:r>
      <w:r w:rsidDel="00000000" w:rsidR="00000000" w:rsidRPr="00000000">
        <w:rPr>
          <w:sz w:val="24"/>
          <w:szCs w:val="24"/>
          <w:shd w:fill="c6c6c6" w:val="clear"/>
          <w:rtl w:val="0"/>
        </w:rPr>
        <w:t xml:space="preserve"> </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A tabela a seguir apresenta as variáveis que compõem o dataset, indicando o tipo de dado de cada uma e uma breve descrição de seu conteúdo. Essas informações são essenciais para compreender a estrutura da base e auxiliar na correta interpretação e análise dos dados disponibilizados pelo SCR, sendo baseadas no documento de metodologia que é disponibilizado juntamente com o dataset.</w:t>
      </w:r>
      <w:r w:rsidDel="00000000" w:rsidR="00000000" w:rsidRPr="00000000">
        <w:rPr>
          <w:sz w:val="24"/>
          <w:szCs w:val="24"/>
          <w:shd w:fill="c6c6c6" w:val="clear"/>
          <w:rtl w:val="0"/>
        </w:rPr>
        <w:t xml:space="preserve"> </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i w:val="1"/>
          <w:iCs w:val="1"/>
          <w:color w:val="0e2841"/>
          <w:sz w:val="21"/>
          <w:szCs w:val="21"/>
          <w:shd w:fill="c6c6c6" w:val="clear"/>
        </w:rPr>
      </w:pPr>
      <w:r w:rsidDel="00000000" w:rsidR="00000000" w:rsidRPr="00000000">
        <w:rPr>
          <w:b w:val="1"/>
          <w:bCs w:val="1"/>
          <w:i w:val="1"/>
          <w:iCs w:val="1"/>
          <w:color w:val="0e2841"/>
          <w:sz w:val="21"/>
          <w:szCs w:val="21"/>
          <w:rtl w:val="0"/>
        </w:rPr>
        <w:t xml:space="preserve">Tabela </w:t>
      </w:r>
      <w:r w:rsidDel="00000000" w:rsidR="00000000" w:rsidRPr="00000000">
        <w:rPr>
          <w:b w:val="1"/>
          <w:bCs w:val="1"/>
          <w:i w:val="1"/>
          <w:iCs w:val="1"/>
          <w:sz w:val="21"/>
          <w:szCs w:val="21"/>
          <w:shd w:fill="e1e3e6" w:val="clear"/>
          <w:rtl w:val="0"/>
        </w:rPr>
        <w:t xml:space="preserve">1</w:t>
      </w:r>
      <w:r w:rsidDel="00000000" w:rsidR="00000000" w:rsidRPr="00000000">
        <w:rPr>
          <w:b w:val="1"/>
          <w:bCs w:val="1"/>
          <w:i w:val="1"/>
          <w:iCs w:val="1"/>
          <w:color w:val="0e2841"/>
          <w:sz w:val="21"/>
          <w:szCs w:val="21"/>
          <w:rtl w:val="0"/>
        </w:rPr>
        <w:t xml:space="preserve"> – Descrição dos dados</w:t>
      </w:r>
      <w:r w:rsidDel="00000000" w:rsidR="00000000" w:rsidRPr="00000000">
        <w:rPr>
          <w:i w:val="1"/>
          <w:iCs w:val="1"/>
          <w:color w:val="0e2841"/>
          <w:sz w:val="21"/>
          <w:szCs w:val="21"/>
          <w:shd w:fill="c6c6c6" w:val="clear"/>
          <w:rtl w:val="0"/>
        </w:rPr>
        <w:t xml:space="preserve"> </w:t>
      </w:r>
    </w:p>
    <w:tbl>
      <w:tblPr>
        <w:tblStyle w:val="Table1"/>
        <w:tblW w:w="10905.0" w:type="dxa"/>
        <w:jc w:val="left"/>
        <w:tblInd w:w="-1020.0" w:type="dxa"/>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955"/>
        <w:gridCol w:w="1170"/>
        <w:gridCol w:w="6780"/>
        <w:tblGridChange w:id="0">
          <w:tblGrid>
            <w:gridCol w:w="2955"/>
            <w:gridCol w:w="1170"/>
            <w:gridCol w:w="678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Variável</w:t>
            </w:r>
            <w:r w:rsidDel="00000000" w:rsidR="00000000" w:rsidRPr="00000000">
              <w:rPr>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Tipo de dado</w:t>
            </w:r>
            <w:r w:rsidDel="00000000" w:rsidR="00000000" w:rsidRPr="00000000">
              <w:rPr>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4"/>
                <w:szCs w:val="24"/>
              </w:rPr>
            </w:pPr>
            <w:r w:rsidDel="00000000" w:rsidR="00000000" w:rsidRPr="00000000">
              <w:rPr>
                <w:b w:val="1"/>
                <w:bCs w:val="1"/>
                <w:sz w:val="24"/>
                <w:szCs w:val="24"/>
                <w:rtl w:val="0"/>
              </w:rPr>
              <w:t xml:space="preserve">Descrição</w:t>
            </w:r>
            <w:r w:rsidDel="00000000" w:rsidR="00000000" w:rsidRPr="00000000">
              <w:rPr>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  data_base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datetime/int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Data-base (data de referência) dos dados. </w:t>
            </w:r>
          </w:p>
        </w:tc>
      </w:tr>
      <w:tr>
        <w:trPr>
          <w:cantSplit w:val="0"/>
          <w:trHeight w:val="12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uf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 Unidade federativa (estado). As 27 unidades da federação estão presentes no relatório.</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  A informação segregada por unidades da federação é baseada no CEP de residência das pessoas físicas ou da Sede das pessoas jurídicas.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segmento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  Segmento do cliente </w:t>
            </w:r>
            <w:r w:rsidDel="00000000" w:rsidR="00000000" w:rsidRPr="00000000">
              <w:rPr>
                <w:i w:val="1"/>
                <w:iCs w:val="1"/>
                <w:sz w:val="20"/>
                <w:szCs w:val="20"/>
                <w:rtl w:val="0"/>
              </w:rPr>
              <w:t xml:space="preserve">(descrição conforme tabela 2).</w:t>
            </w:r>
            <w:r w:rsidDel="00000000" w:rsidR="00000000" w:rsidRPr="00000000">
              <w:rPr>
                <w:sz w:val="20"/>
                <w:szCs w:val="20"/>
                <w:rtl w:val="0"/>
              </w:rPr>
              <w:t xml:space="preserve"> </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cliente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  Os tipos de cliente estão agrupados da seguinte forma: </w:t>
            </w:r>
          </w:p>
          <w:p w:rsidR="00000000" w:rsidDel="00000000" w:rsidP="00000000" w:rsidRDefault="00000000" w:rsidRPr="00000000" w14:paraId="00000069">
            <w:pPr>
              <w:numPr>
                <w:ilvl w:val="0"/>
                <w:numId w:val="11"/>
              </w:numPr>
              <w:pBdr>
                <w:top w:color="auto" w:space="0" w:sz="0" w:val="none"/>
                <w:bottom w:color="auto" w:space="0" w:sz="0" w:val="none"/>
                <w:right w:color="auto" w:space="0" w:sz="0" w:val="none"/>
                <w:between w:color="auto" w:space="0" w:sz="0" w:val="none"/>
              </w:pBdr>
              <w:spacing w:after="0" w:afterAutospacing="0" w:before="40" w:lineRule="auto"/>
              <w:ind w:left="1040" w:hanging="360"/>
              <w:jc w:val="center"/>
              <w:rPr>
                <w:rFonts w:ascii="Arial" w:cs="Arial" w:eastAsia="Arial" w:hAnsi="Arial"/>
                <w:sz w:val="20"/>
                <w:szCs w:val="20"/>
              </w:rPr>
            </w:pPr>
            <w:r w:rsidDel="00000000" w:rsidR="00000000" w:rsidRPr="00000000">
              <w:rPr>
                <w:sz w:val="20"/>
                <w:szCs w:val="20"/>
                <w:rtl w:val="0"/>
              </w:rPr>
              <w:t xml:space="preserve">Pessoas físicas (PF)  </w:t>
            </w:r>
          </w:p>
          <w:p w:rsidR="00000000" w:rsidDel="00000000" w:rsidP="00000000" w:rsidRDefault="00000000" w:rsidRPr="00000000" w14:paraId="0000006A">
            <w:pPr>
              <w:numPr>
                <w:ilvl w:val="0"/>
                <w:numId w:val="38"/>
              </w:numPr>
              <w:pBdr>
                <w:top w:color="auto" w:space="0" w:sz="0" w:val="none"/>
                <w:bottom w:color="auto" w:space="0" w:sz="0" w:val="none"/>
                <w:right w:color="auto" w:space="0" w:sz="0" w:val="none"/>
                <w:between w:color="auto" w:space="0" w:sz="0" w:val="none"/>
              </w:pBdr>
              <w:spacing w:after="40" w:before="0" w:beforeAutospacing="0" w:lineRule="auto"/>
              <w:ind w:left="1040" w:hanging="360"/>
              <w:jc w:val="center"/>
              <w:rPr>
                <w:rFonts w:ascii="Arial" w:cs="Arial" w:eastAsia="Arial" w:hAnsi="Arial"/>
                <w:sz w:val="20"/>
                <w:szCs w:val="20"/>
              </w:rPr>
            </w:pPr>
            <w:r w:rsidDel="00000000" w:rsidR="00000000" w:rsidRPr="00000000">
              <w:rPr>
                <w:sz w:val="20"/>
                <w:szCs w:val="20"/>
                <w:rtl w:val="0"/>
              </w:rPr>
              <w:t xml:space="preserve">Pessoas jurídicas (PJ). </w:t>
            </w:r>
          </w:p>
        </w:tc>
      </w:tr>
      <w:tr>
        <w:trPr>
          <w:cantSplit w:val="0"/>
          <w:trHeight w:val="38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cnae_ocupacao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 Para as pessoas jurídicas , o campo cnae_ocupacao é preenchido com a cessão (1º nível) do CNAE. O CNAE é o padrão oficial adotado no Brasil para classificar e categorizar as atividades econômicas exercidas por empresas. </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Para as pessoas físicas o campo cnae_ocupacao é preenchido com a natureza da ocupação. As naturezas de ocupação estão agrupadas da seguinte forma: </w:t>
            </w:r>
          </w:p>
          <w:p w:rsidR="00000000" w:rsidDel="00000000" w:rsidP="00000000" w:rsidRDefault="00000000" w:rsidRPr="00000000" w14:paraId="0000006F">
            <w:pPr>
              <w:numPr>
                <w:ilvl w:val="0"/>
                <w:numId w:val="50"/>
              </w:numPr>
              <w:pBdr>
                <w:top w:color="auto" w:space="0" w:sz="0" w:val="none"/>
                <w:bottom w:color="auto" w:space="0" w:sz="0" w:val="none"/>
                <w:right w:color="auto" w:space="0" w:sz="0" w:val="none"/>
                <w:between w:color="auto" w:space="0" w:sz="0" w:val="none"/>
              </w:pBdr>
              <w:spacing w:after="0" w:afterAutospacing="0" w:before="40" w:lineRule="auto"/>
              <w:ind w:left="1000" w:hanging="360"/>
              <w:rPr>
                <w:rFonts w:ascii="Arial" w:cs="Arial" w:eastAsia="Arial" w:hAnsi="Arial"/>
                <w:sz w:val="20"/>
                <w:szCs w:val="20"/>
              </w:rPr>
            </w:pPr>
            <w:r w:rsidDel="00000000" w:rsidR="00000000" w:rsidRPr="00000000">
              <w:rPr>
                <w:sz w:val="20"/>
                <w:szCs w:val="20"/>
                <w:rtl w:val="0"/>
              </w:rPr>
              <w:t xml:space="preserve">Servidor ou empregado público </w:t>
            </w:r>
          </w:p>
          <w:p w:rsidR="00000000" w:rsidDel="00000000" w:rsidP="00000000" w:rsidRDefault="00000000" w:rsidRPr="00000000" w14:paraId="00000070">
            <w:pPr>
              <w:numPr>
                <w:ilvl w:val="0"/>
                <w:numId w:val="49"/>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Empregado de entidades sem fins lucrativos </w:t>
            </w:r>
          </w:p>
          <w:p w:rsidR="00000000" w:rsidDel="00000000" w:rsidP="00000000" w:rsidRDefault="00000000" w:rsidRPr="00000000" w14:paraId="00000071">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Empregado de empresa privada </w:t>
            </w:r>
          </w:p>
          <w:p w:rsidR="00000000" w:rsidDel="00000000" w:rsidP="00000000" w:rsidRDefault="00000000" w:rsidRPr="00000000" w14:paraId="00000072">
            <w:pPr>
              <w:numPr>
                <w:ilvl w:val="0"/>
                <w:numId w:val="37"/>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Aposentado/pensionista </w:t>
            </w:r>
          </w:p>
          <w:p w:rsidR="00000000" w:rsidDel="00000000" w:rsidP="00000000" w:rsidRDefault="00000000" w:rsidRPr="00000000" w14:paraId="00000073">
            <w:pPr>
              <w:numPr>
                <w:ilvl w:val="0"/>
                <w:numId w:val="57"/>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Autônomo </w:t>
            </w:r>
          </w:p>
          <w:p w:rsidR="00000000" w:rsidDel="00000000" w:rsidP="00000000" w:rsidRDefault="00000000" w:rsidRPr="00000000" w14:paraId="00000074">
            <w:pPr>
              <w:numPr>
                <w:ilvl w:val="0"/>
                <w:numId w:val="12"/>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Empresário </w:t>
            </w:r>
          </w:p>
          <w:p w:rsidR="00000000" w:rsidDel="00000000" w:rsidP="00000000" w:rsidRDefault="00000000" w:rsidRPr="00000000" w14:paraId="00000075">
            <w:pPr>
              <w:numPr>
                <w:ilvl w:val="0"/>
                <w:numId w:val="15"/>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MEI </w:t>
            </w:r>
          </w:p>
          <w:p w:rsidR="00000000" w:rsidDel="00000000" w:rsidP="00000000" w:rsidRDefault="00000000" w:rsidRPr="00000000" w14:paraId="00000076">
            <w:pPr>
              <w:numPr>
                <w:ilvl w:val="0"/>
                <w:numId w:val="41"/>
              </w:numPr>
              <w:pBdr>
                <w:top w:color="auto" w:space="0" w:sz="0" w:val="none"/>
                <w:bottom w:color="auto" w:space="0" w:sz="0" w:val="none"/>
                <w:right w:color="auto" w:space="0" w:sz="0" w:val="none"/>
                <w:between w:color="auto" w:space="0" w:sz="0" w:val="none"/>
              </w:pBdr>
              <w:spacing w:after="4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Outros </w:t>
            </w:r>
          </w:p>
        </w:tc>
      </w:tr>
      <w:tr>
        <w:trPr>
          <w:cantSplit w:val="0"/>
          <w:trHeight w:val="40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porte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O porte dos clientes PF está agrupado da seguinte forma: </w:t>
            </w:r>
          </w:p>
          <w:p w:rsidR="00000000" w:rsidDel="00000000" w:rsidP="00000000" w:rsidRDefault="00000000" w:rsidRPr="00000000" w14:paraId="0000007A">
            <w:pPr>
              <w:numPr>
                <w:ilvl w:val="0"/>
                <w:numId w:val="60"/>
              </w:numPr>
              <w:pBdr>
                <w:top w:color="auto" w:space="0" w:sz="0" w:val="none"/>
                <w:bottom w:color="auto" w:space="0" w:sz="0" w:val="none"/>
                <w:right w:color="auto" w:space="0" w:sz="0" w:val="none"/>
                <w:between w:color="auto" w:space="0" w:sz="0" w:val="none"/>
              </w:pBdr>
              <w:spacing w:after="0" w:afterAutospacing="0" w:before="40" w:lineRule="auto"/>
              <w:ind w:left="1040" w:hanging="360"/>
              <w:rPr>
                <w:rFonts w:ascii="Arial" w:cs="Arial" w:eastAsia="Arial" w:hAnsi="Arial"/>
                <w:sz w:val="20"/>
                <w:szCs w:val="20"/>
              </w:rPr>
            </w:pPr>
            <w:r w:rsidDel="00000000" w:rsidR="00000000" w:rsidRPr="00000000">
              <w:rPr>
                <w:sz w:val="20"/>
                <w:szCs w:val="20"/>
                <w:rtl w:val="0"/>
              </w:rPr>
              <w:t xml:space="preserve">Sem rendimento </w:t>
            </w:r>
          </w:p>
          <w:p w:rsidR="00000000" w:rsidDel="00000000" w:rsidP="00000000" w:rsidRDefault="00000000" w:rsidRPr="00000000" w14:paraId="0000007B">
            <w:pPr>
              <w:numPr>
                <w:ilvl w:val="0"/>
                <w:numId w:val="53"/>
              </w:numPr>
              <w:pBdr>
                <w:top w:color="auto" w:space="0" w:sz="0" w:val="none"/>
                <w:bottom w:color="auto" w:space="0" w:sz="0" w:val="none"/>
                <w:right w:color="auto" w:space="0" w:sz="0" w:val="none"/>
                <w:between w:color="auto" w:space="0" w:sz="0" w:val="none"/>
              </w:pBdr>
              <w:spacing w:after="0" w:afterAutospacing="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Até 1 salário-mínimo </w:t>
            </w:r>
          </w:p>
          <w:p w:rsidR="00000000" w:rsidDel="00000000" w:rsidP="00000000" w:rsidRDefault="00000000" w:rsidRPr="00000000" w14:paraId="0000007C">
            <w:pPr>
              <w:numPr>
                <w:ilvl w:val="0"/>
                <w:numId w:val="17"/>
              </w:numPr>
              <w:pBdr>
                <w:top w:color="auto" w:space="0" w:sz="0" w:val="none"/>
                <w:bottom w:color="auto" w:space="0" w:sz="0" w:val="none"/>
                <w:right w:color="auto" w:space="0" w:sz="0" w:val="none"/>
                <w:between w:color="auto" w:space="0" w:sz="0" w:val="none"/>
              </w:pBdr>
              <w:spacing w:after="0" w:afterAutospacing="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Mais de 1 a 2 salários-mínimos </w:t>
            </w:r>
          </w:p>
          <w:p w:rsidR="00000000" w:rsidDel="00000000" w:rsidP="00000000" w:rsidRDefault="00000000" w:rsidRPr="00000000" w14:paraId="0000007D">
            <w:pPr>
              <w:numPr>
                <w:ilvl w:val="0"/>
                <w:numId w:val="14"/>
              </w:numPr>
              <w:pBdr>
                <w:top w:color="auto" w:space="0" w:sz="0" w:val="none"/>
                <w:bottom w:color="auto" w:space="0" w:sz="0" w:val="none"/>
                <w:right w:color="auto" w:space="0" w:sz="0" w:val="none"/>
                <w:between w:color="auto" w:space="0" w:sz="0" w:val="none"/>
              </w:pBdr>
              <w:spacing w:after="0" w:afterAutospacing="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Mais de 2 a 3 salários-mínimos </w:t>
            </w:r>
          </w:p>
          <w:p w:rsidR="00000000" w:rsidDel="00000000" w:rsidP="00000000" w:rsidRDefault="00000000" w:rsidRPr="00000000" w14:paraId="0000007E">
            <w:pPr>
              <w:numPr>
                <w:ilvl w:val="0"/>
                <w:numId w:val="46"/>
              </w:numPr>
              <w:pBdr>
                <w:top w:color="auto" w:space="0" w:sz="0" w:val="none"/>
                <w:bottom w:color="auto" w:space="0" w:sz="0" w:val="none"/>
                <w:right w:color="auto" w:space="0" w:sz="0" w:val="none"/>
                <w:between w:color="auto" w:space="0" w:sz="0" w:val="none"/>
              </w:pBdr>
              <w:spacing w:after="0" w:afterAutospacing="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Mais de 3 a 5 salários-mínimos </w:t>
            </w:r>
          </w:p>
          <w:p w:rsidR="00000000" w:rsidDel="00000000" w:rsidP="00000000" w:rsidRDefault="00000000" w:rsidRPr="00000000" w14:paraId="0000007F">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Mais de 5 a 10 salários-mínimos </w:t>
            </w:r>
          </w:p>
          <w:p w:rsidR="00000000" w:rsidDel="00000000" w:rsidP="00000000" w:rsidRDefault="00000000" w:rsidRPr="00000000" w14:paraId="00000080">
            <w:pPr>
              <w:numPr>
                <w:ilvl w:val="0"/>
                <w:numId w:val="33"/>
              </w:numPr>
              <w:pBdr>
                <w:top w:color="auto" w:space="0" w:sz="0" w:val="none"/>
                <w:bottom w:color="auto" w:space="0" w:sz="0" w:val="none"/>
                <w:right w:color="auto" w:space="0" w:sz="0" w:val="none"/>
                <w:between w:color="auto" w:space="0" w:sz="0" w:val="none"/>
              </w:pBdr>
              <w:spacing w:after="0" w:afterAutospacing="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Mais de 10 a 20 salários-mínimos </w:t>
            </w:r>
          </w:p>
          <w:p w:rsidR="00000000" w:rsidDel="00000000" w:rsidP="00000000" w:rsidRDefault="00000000" w:rsidRPr="00000000" w14:paraId="00000081">
            <w:pPr>
              <w:numPr>
                <w:ilvl w:val="0"/>
                <w:numId w:val="44"/>
              </w:numPr>
              <w:pBdr>
                <w:top w:color="auto" w:space="0" w:sz="0" w:val="none"/>
                <w:bottom w:color="auto" w:space="0" w:sz="0" w:val="none"/>
                <w:right w:color="auto" w:space="0" w:sz="0" w:val="none"/>
                <w:between w:color="auto" w:space="0" w:sz="0" w:val="none"/>
              </w:pBdr>
              <w:spacing w:after="0" w:afterAutospacing="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Acima de 20 salários-mínimos </w:t>
            </w:r>
          </w:p>
          <w:p w:rsidR="00000000" w:rsidDel="00000000" w:rsidP="00000000" w:rsidRDefault="00000000" w:rsidRPr="00000000" w14:paraId="00000082">
            <w:pPr>
              <w:numPr>
                <w:ilvl w:val="0"/>
                <w:numId w:val="22"/>
              </w:numPr>
              <w:pBdr>
                <w:top w:color="auto" w:space="0" w:sz="0" w:val="none"/>
                <w:bottom w:color="auto" w:space="0" w:sz="0" w:val="none"/>
                <w:right w:color="auto" w:space="0" w:sz="0" w:val="none"/>
                <w:between w:color="auto" w:space="0" w:sz="0" w:val="none"/>
              </w:pBdr>
              <w:spacing w:after="40" w:before="0" w:beforeAutospacing="0" w:lineRule="auto"/>
              <w:ind w:left="1040" w:hanging="360"/>
              <w:rPr>
                <w:rFonts w:ascii="Arial" w:cs="Arial" w:eastAsia="Arial" w:hAnsi="Arial"/>
                <w:sz w:val="20"/>
                <w:szCs w:val="20"/>
              </w:rPr>
            </w:pPr>
            <w:r w:rsidDel="00000000" w:rsidR="00000000" w:rsidRPr="00000000">
              <w:rPr>
                <w:sz w:val="20"/>
                <w:szCs w:val="20"/>
                <w:rtl w:val="0"/>
              </w:rPr>
              <w:t xml:space="preserve">Indisponível </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O porte dos clientes PJ está agrupado da seguinte forma: </w:t>
            </w:r>
          </w:p>
          <w:p w:rsidR="00000000" w:rsidDel="00000000" w:rsidP="00000000" w:rsidRDefault="00000000" w:rsidRPr="00000000" w14:paraId="00000084">
            <w:pPr>
              <w:numPr>
                <w:ilvl w:val="0"/>
                <w:numId w:val="4"/>
              </w:numPr>
              <w:pBdr>
                <w:top w:color="auto" w:space="0" w:sz="0" w:val="none"/>
                <w:bottom w:color="auto" w:space="0" w:sz="0" w:val="none"/>
                <w:right w:color="auto" w:space="0" w:sz="0" w:val="none"/>
                <w:between w:color="auto" w:space="0" w:sz="0" w:val="none"/>
              </w:pBdr>
              <w:spacing w:after="0" w:afterAutospacing="0" w:before="40" w:lineRule="auto"/>
              <w:ind w:left="1000" w:hanging="360"/>
              <w:rPr>
                <w:rFonts w:ascii="Arial" w:cs="Arial" w:eastAsia="Arial" w:hAnsi="Arial"/>
                <w:sz w:val="20"/>
                <w:szCs w:val="20"/>
              </w:rPr>
            </w:pPr>
            <w:r w:rsidDel="00000000" w:rsidR="00000000" w:rsidRPr="00000000">
              <w:rPr>
                <w:sz w:val="20"/>
                <w:szCs w:val="20"/>
                <w:rtl w:val="0"/>
              </w:rPr>
              <w:t xml:space="preserve">Micro </w:t>
            </w:r>
          </w:p>
          <w:p w:rsidR="00000000" w:rsidDel="00000000" w:rsidP="00000000" w:rsidRDefault="00000000" w:rsidRPr="00000000" w14:paraId="00000085">
            <w:pPr>
              <w:numPr>
                <w:ilvl w:val="0"/>
                <w:numId w:val="52"/>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Pequeno </w:t>
            </w:r>
          </w:p>
          <w:p w:rsidR="00000000" w:rsidDel="00000000" w:rsidP="00000000" w:rsidRDefault="00000000" w:rsidRPr="00000000" w14:paraId="00000086">
            <w:pPr>
              <w:numPr>
                <w:ilvl w:val="0"/>
                <w:numId w:val="40"/>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Médio </w:t>
            </w:r>
          </w:p>
          <w:p w:rsidR="00000000" w:rsidDel="00000000" w:rsidP="00000000" w:rsidRDefault="00000000" w:rsidRPr="00000000" w14:paraId="00000087">
            <w:pPr>
              <w:numPr>
                <w:ilvl w:val="0"/>
                <w:numId w:val="42"/>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Grande </w:t>
            </w:r>
          </w:p>
          <w:p w:rsidR="00000000" w:rsidDel="00000000" w:rsidP="00000000" w:rsidRDefault="00000000" w:rsidRPr="00000000" w14:paraId="00000088">
            <w:pPr>
              <w:numPr>
                <w:ilvl w:val="0"/>
                <w:numId w:val="20"/>
              </w:numPr>
              <w:pBdr>
                <w:top w:color="auto" w:space="0" w:sz="0" w:val="none"/>
                <w:bottom w:color="auto" w:space="0" w:sz="0" w:val="none"/>
                <w:right w:color="auto" w:space="0" w:sz="0" w:val="none"/>
                <w:between w:color="auto" w:space="0" w:sz="0" w:val="none"/>
              </w:pBdr>
              <w:spacing w:after="4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Indisponível </w:t>
            </w:r>
          </w:p>
        </w:tc>
      </w:tr>
      <w:tr>
        <w:trPr>
          <w:cantSplit w:val="0"/>
          <w:trHeight w:val="36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modalidade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As modalidade das operações de crédito estão agrupadas da seguinte forma: </w:t>
            </w:r>
          </w:p>
          <w:p w:rsidR="00000000" w:rsidDel="00000000" w:rsidP="00000000" w:rsidRDefault="00000000" w:rsidRPr="00000000" w14:paraId="0000008C">
            <w:pPr>
              <w:numPr>
                <w:ilvl w:val="0"/>
                <w:numId w:val="7"/>
              </w:numPr>
              <w:pBdr>
                <w:top w:color="auto" w:space="0" w:sz="0" w:val="none"/>
                <w:bottom w:color="auto" w:space="0" w:sz="0" w:val="none"/>
                <w:right w:color="auto" w:space="0" w:sz="0" w:val="none"/>
                <w:between w:color="auto" w:space="0" w:sz="0" w:val="none"/>
              </w:pBdr>
              <w:spacing w:after="0" w:afterAutospacing="0" w:before="40" w:lineRule="auto"/>
              <w:ind w:left="1000" w:hanging="360"/>
              <w:rPr>
                <w:rFonts w:ascii="Arial" w:cs="Arial" w:eastAsia="Arial" w:hAnsi="Arial"/>
                <w:sz w:val="20"/>
                <w:szCs w:val="20"/>
              </w:rPr>
            </w:pPr>
            <w:r w:rsidDel="00000000" w:rsidR="00000000" w:rsidRPr="00000000">
              <w:rPr>
                <w:sz w:val="20"/>
                <w:szCs w:val="20"/>
                <w:rtl w:val="0"/>
              </w:rPr>
              <w:t xml:space="preserve">Adiantamento a depositantes </w:t>
            </w:r>
          </w:p>
          <w:p w:rsidR="00000000" w:rsidDel="00000000" w:rsidP="00000000" w:rsidRDefault="00000000" w:rsidRPr="00000000" w14:paraId="0000008D">
            <w:pPr>
              <w:numPr>
                <w:ilvl w:val="0"/>
                <w:numId w:val="28"/>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Empréstimos </w:t>
            </w:r>
          </w:p>
          <w:p w:rsidR="00000000" w:rsidDel="00000000" w:rsidP="00000000" w:rsidRDefault="00000000" w:rsidRPr="00000000" w14:paraId="0000008E">
            <w:pPr>
              <w:numPr>
                <w:ilvl w:val="0"/>
                <w:numId w:val="48"/>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Direitos creditórios descontados </w:t>
            </w:r>
          </w:p>
          <w:p w:rsidR="00000000" w:rsidDel="00000000" w:rsidP="00000000" w:rsidRDefault="00000000" w:rsidRPr="00000000" w14:paraId="0000008F">
            <w:pPr>
              <w:numPr>
                <w:ilvl w:val="0"/>
                <w:numId w:val="56"/>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Financiamentos </w:t>
            </w:r>
          </w:p>
          <w:p w:rsidR="00000000" w:rsidDel="00000000" w:rsidP="00000000" w:rsidRDefault="00000000" w:rsidRPr="00000000" w14:paraId="00000090">
            <w:pPr>
              <w:numPr>
                <w:ilvl w:val="0"/>
                <w:numId w:val="19"/>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Financiamentos à exportação </w:t>
            </w:r>
          </w:p>
          <w:p w:rsidR="00000000" w:rsidDel="00000000" w:rsidP="00000000" w:rsidRDefault="00000000" w:rsidRPr="00000000" w14:paraId="00000091">
            <w:pPr>
              <w:numPr>
                <w:ilvl w:val="0"/>
                <w:numId w:val="43"/>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 à importação </w:t>
            </w:r>
          </w:p>
          <w:p w:rsidR="00000000" w:rsidDel="00000000" w:rsidP="00000000" w:rsidRDefault="00000000" w:rsidRPr="00000000" w14:paraId="00000092">
            <w:pPr>
              <w:numPr>
                <w:ilvl w:val="0"/>
                <w:numId w:val="29"/>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Financiamentos com interveniência </w:t>
            </w:r>
          </w:p>
          <w:p w:rsidR="00000000" w:rsidDel="00000000" w:rsidP="00000000" w:rsidRDefault="00000000" w:rsidRPr="00000000" w14:paraId="00000093">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Financiamentos rurais e agroindustriais </w:t>
            </w:r>
          </w:p>
          <w:p w:rsidR="00000000" w:rsidDel="00000000" w:rsidP="00000000" w:rsidRDefault="00000000" w:rsidRPr="00000000" w14:paraId="00000094">
            <w:pPr>
              <w:numPr>
                <w:ilvl w:val="0"/>
                <w:numId w:val="21"/>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Financiamentos imobiliários </w:t>
            </w:r>
          </w:p>
          <w:p w:rsidR="00000000" w:rsidDel="00000000" w:rsidP="00000000" w:rsidRDefault="00000000" w:rsidRPr="00000000" w14:paraId="00000095">
            <w:pPr>
              <w:numPr>
                <w:ilvl w:val="0"/>
                <w:numId w:val="45"/>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 de títulos e valores imobiliários </w:t>
            </w:r>
          </w:p>
          <w:p w:rsidR="00000000" w:rsidDel="00000000" w:rsidP="00000000" w:rsidRDefault="00000000" w:rsidRPr="00000000" w14:paraId="00000096">
            <w:pPr>
              <w:numPr>
                <w:ilvl w:val="0"/>
                <w:numId w:val="32"/>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Financiamento de infraestrutura e desenvolvimento </w:t>
            </w:r>
          </w:p>
          <w:p w:rsidR="00000000" w:rsidDel="00000000" w:rsidP="00000000" w:rsidRDefault="00000000" w:rsidRPr="00000000" w14:paraId="00000097">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Operações de arrendamento </w:t>
            </w:r>
          </w:p>
          <w:p w:rsidR="00000000" w:rsidDel="00000000" w:rsidP="00000000" w:rsidRDefault="00000000" w:rsidRPr="00000000" w14:paraId="00000098">
            <w:pPr>
              <w:numPr>
                <w:ilvl w:val="0"/>
                <w:numId w:val="35"/>
              </w:numPr>
              <w:pBdr>
                <w:top w:color="auto" w:space="0" w:sz="0" w:val="none"/>
                <w:bottom w:color="auto" w:space="0" w:sz="0" w:val="none"/>
                <w:right w:color="auto" w:space="0" w:sz="0" w:val="none"/>
                <w:between w:color="auto" w:space="0" w:sz="0" w:val="none"/>
              </w:pBdr>
              <w:spacing w:after="4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Outros créditos </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submodalidade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As submodalidades apresentadas no relatório representam as sub modalidades definidas no Anexo 3 do Leiaute do SCR </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origem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 origem dos recursos está agrupada da seguinte forma: </w:t>
            </w:r>
          </w:p>
          <w:p w:rsidR="00000000" w:rsidDel="00000000" w:rsidP="00000000" w:rsidRDefault="00000000" w:rsidRPr="00000000" w14:paraId="0000009F">
            <w:pPr>
              <w:numPr>
                <w:ilvl w:val="0"/>
                <w:numId w:val="16"/>
              </w:numPr>
              <w:pBdr>
                <w:top w:color="auto" w:space="0" w:sz="0" w:val="none"/>
                <w:bottom w:color="auto" w:space="0" w:sz="0" w:val="none"/>
                <w:right w:color="auto" w:space="0" w:sz="0" w:val="none"/>
                <w:between w:color="auto" w:space="0" w:sz="0" w:val="none"/>
              </w:pBdr>
              <w:spacing w:after="0" w:afterAutospacing="0" w:before="40" w:lineRule="auto"/>
              <w:ind w:left="1000" w:hanging="360"/>
              <w:rPr>
                <w:rFonts w:ascii="Arial" w:cs="Arial" w:eastAsia="Arial" w:hAnsi="Arial"/>
                <w:sz w:val="20"/>
                <w:szCs w:val="20"/>
              </w:rPr>
            </w:pPr>
            <w:r w:rsidDel="00000000" w:rsidR="00000000" w:rsidRPr="00000000">
              <w:rPr>
                <w:sz w:val="20"/>
                <w:szCs w:val="20"/>
                <w:rtl w:val="0"/>
              </w:rPr>
              <w:t xml:space="preserve">Sem destinação específica </w:t>
            </w:r>
          </w:p>
          <w:p w:rsidR="00000000" w:rsidDel="00000000" w:rsidP="00000000" w:rsidRDefault="00000000" w:rsidRPr="00000000" w14:paraId="000000A0">
            <w:pPr>
              <w:numPr>
                <w:ilvl w:val="0"/>
                <w:numId w:val="27"/>
              </w:numPr>
              <w:pBdr>
                <w:top w:color="auto" w:space="0" w:sz="0" w:val="none"/>
                <w:bottom w:color="auto" w:space="0" w:sz="0" w:val="none"/>
                <w:right w:color="auto" w:space="0" w:sz="0" w:val="none"/>
                <w:between w:color="auto" w:space="0" w:sz="0" w:val="none"/>
              </w:pBdr>
              <w:spacing w:after="4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Com destinação específica </w:t>
            </w:r>
          </w:p>
        </w:tc>
      </w:tr>
      <w:tr>
        <w:trPr>
          <w:cantSplit w:val="0"/>
          <w:trHeight w:val="24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indexador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categórico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Os indexadores da operação estão agrupados da seguinte forma:  </w:t>
            </w:r>
          </w:p>
          <w:p w:rsidR="00000000" w:rsidDel="00000000" w:rsidP="00000000" w:rsidRDefault="00000000" w:rsidRPr="00000000" w14:paraId="000000A4">
            <w:pPr>
              <w:numPr>
                <w:ilvl w:val="0"/>
                <w:numId w:val="55"/>
              </w:numPr>
              <w:pBdr>
                <w:top w:color="auto" w:space="0" w:sz="0" w:val="none"/>
                <w:bottom w:color="auto" w:space="0" w:sz="0" w:val="none"/>
                <w:right w:color="auto" w:space="0" w:sz="0" w:val="none"/>
                <w:between w:color="auto" w:space="0" w:sz="0" w:val="none"/>
              </w:pBdr>
              <w:spacing w:after="0" w:afterAutospacing="0" w:before="40" w:lineRule="auto"/>
              <w:ind w:left="1000" w:hanging="360"/>
              <w:rPr>
                <w:rFonts w:ascii="Arial" w:cs="Arial" w:eastAsia="Arial" w:hAnsi="Arial"/>
                <w:sz w:val="20"/>
                <w:szCs w:val="20"/>
              </w:rPr>
            </w:pPr>
            <w:r w:rsidDel="00000000" w:rsidR="00000000" w:rsidRPr="00000000">
              <w:rPr>
                <w:sz w:val="20"/>
                <w:szCs w:val="20"/>
                <w:rtl w:val="0"/>
              </w:rPr>
              <w:t xml:space="preserve">Prefixado </w:t>
            </w:r>
          </w:p>
          <w:p w:rsidR="00000000" w:rsidDel="00000000" w:rsidP="00000000" w:rsidRDefault="00000000" w:rsidRPr="00000000" w14:paraId="000000A5">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Pós-fixado </w:t>
            </w:r>
          </w:p>
          <w:p w:rsidR="00000000" w:rsidDel="00000000" w:rsidP="00000000" w:rsidRDefault="00000000" w:rsidRPr="00000000" w14:paraId="000000A6">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Flutuantes </w:t>
            </w:r>
          </w:p>
          <w:p w:rsidR="00000000" w:rsidDel="00000000" w:rsidP="00000000" w:rsidRDefault="00000000" w:rsidRPr="00000000" w14:paraId="000000A7">
            <w:pPr>
              <w:numPr>
                <w:ilvl w:val="0"/>
                <w:numId w:val="26"/>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Índices de preços </w:t>
            </w:r>
          </w:p>
          <w:p w:rsidR="00000000" w:rsidDel="00000000" w:rsidP="00000000" w:rsidRDefault="00000000" w:rsidRPr="00000000" w14:paraId="000000A8">
            <w:pPr>
              <w:numPr>
                <w:ilvl w:val="0"/>
                <w:numId w:val="54"/>
              </w:numPr>
              <w:pBdr>
                <w:top w:color="auto" w:space="0" w:sz="0" w:val="none"/>
                <w:bottom w:color="auto" w:space="0" w:sz="0" w:val="none"/>
                <w:right w:color="auto" w:space="0" w:sz="0" w:val="none"/>
                <w:between w:color="auto" w:space="0" w:sz="0" w:val="none"/>
              </w:pBdr>
              <w:spacing w:after="0" w:afterAutospacing="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TCR/TRFC (Taxas de Juros do Crédito Rural e Taxas de Juros Rurais dos Fundos Constitucionais de Financiamento) </w:t>
            </w:r>
          </w:p>
          <w:p w:rsidR="00000000" w:rsidDel="00000000" w:rsidP="00000000" w:rsidRDefault="00000000" w:rsidRPr="00000000" w14:paraId="000000A9">
            <w:pPr>
              <w:numPr>
                <w:ilvl w:val="0"/>
                <w:numId w:val="58"/>
              </w:numPr>
              <w:pBdr>
                <w:top w:color="auto" w:space="0" w:sz="0" w:val="none"/>
                <w:bottom w:color="auto" w:space="0" w:sz="0" w:val="none"/>
                <w:right w:color="auto" w:space="0" w:sz="0" w:val="none"/>
                <w:between w:color="auto" w:space="0" w:sz="0" w:val="none"/>
              </w:pBdr>
              <w:spacing w:after="40" w:before="0" w:beforeAutospacing="0" w:lineRule="auto"/>
              <w:ind w:left="1000" w:hanging="360"/>
              <w:rPr>
                <w:rFonts w:ascii="Arial" w:cs="Arial" w:eastAsia="Arial" w:hAnsi="Arial"/>
                <w:sz w:val="20"/>
                <w:szCs w:val="20"/>
              </w:rPr>
            </w:pPr>
            <w:r w:rsidDel="00000000" w:rsidR="00000000" w:rsidRPr="00000000">
              <w:rPr>
                <w:sz w:val="20"/>
                <w:szCs w:val="20"/>
                <w:rtl w:val="0"/>
              </w:rPr>
              <w:t xml:space="preserve">Outros indexadores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numero_de_operacoes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Representa o número de operações de crédito para um dado recorte de dados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a_vencer_ate_90_dias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a vencer até 90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a_vencer_de_91_ate_360_dias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a vencer  de 91 até 360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a_vencer_de_361_ate_1080_dias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a vencer  de 361 até 1080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a_vencer_de_1081_ate_1800_dias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a vencer  de 1081 até 1800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a_vencer_de_1801_ate_5400_dias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a vencer  de 1801 até 5400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a_vencer_acima_de_5400_dias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a vencer acima de 5400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carteira_a_vencer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Total da carteira a vencer (somatória dos créditos a vencer citados anteriormente).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vencido_de_15_ate_90_dias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vencidos de 15 até 90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vencido_acima_de_90_dias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Somatório dos créditos vencidos acima de 90 dias </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carteira_vencida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Somatória dos itens vencido_de_15_ate_90_dias e vencido_acima_de_90_dias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carteira_ativa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Somatória dos itens carteira_a_vencer e carteira_vencida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carteira_inadimplencia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Somatória das operações de crédito a vencer e vencidas que possuam alguma parcela vencida há mais de 90 dias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ativo_problematico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numérico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sz w:val="20"/>
                <w:szCs w:val="20"/>
              </w:rPr>
            </w:pPr>
            <w:r w:rsidDel="00000000" w:rsidR="00000000" w:rsidRPr="00000000">
              <w:rPr>
                <w:sz w:val="20"/>
                <w:szCs w:val="20"/>
                <w:rtl w:val="0"/>
              </w:rPr>
              <w:t xml:space="preserve">Somatória das operações de crédito classificadas como ativos problemáticos. </w:t>
            </w:r>
          </w:p>
        </w:tc>
      </w:tr>
    </w:tbl>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b w:val="1"/>
          <w:bCs w:val="1"/>
          <w:i w:val="1"/>
          <w:iCs w:val="1"/>
          <w:color w:val="0e2841"/>
          <w:sz w:val="21"/>
          <w:szCs w:val="21"/>
        </w:rPr>
      </w:pPr>
      <w:r w:rsidDel="00000000" w:rsidR="00000000" w:rsidRPr="00000000">
        <w:rPr>
          <w:rtl w:val="0"/>
        </w:rPr>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b w:val="1"/>
          <w:bCs w:val="1"/>
          <w:i w:val="1"/>
          <w:iCs w:val="1"/>
          <w:color w:val="0e2841"/>
          <w:sz w:val="21"/>
          <w:szCs w:val="21"/>
        </w:rPr>
      </w:pPr>
      <w:r w:rsidDel="00000000" w:rsidR="00000000" w:rsidRPr="00000000">
        <w:rPr>
          <w:rtl w:val="0"/>
        </w:rPr>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b w:val="1"/>
          <w:bCs w:val="1"/>
          <w:i w:val="1"/>
          <w:iCs w:val="1"/>
          <w:color w:val="0e2841"/>
          <w:sz w:val="21"/>
          <w:szCs w:val="21"/>
        </w:rPr>
      </w:pPr>
      <w:r w:rsidDel="00000000" w:rsidR="00000000" w:rsidRPr="00000000">
        <w:rPr>
          <w:rtl w:val="0"/>
        </w:rPr>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b w:val="1"/>
          <w:bCs w:val="1"/>
          <w:i w:val="1"/>
          <w:iCs w:val="1"/>
          <w:color w:val="0e2841"/>
          <w:sz w:val="21"/>
          <w:szCs w:val="21"/>
        </w:rPr>
      </w:pPr>
      <w:r w:rsidDel="00000000" w:rsidR="00000000" w:rsidRPr="00000000">
        <w:rPr>
          <w:rtl w:val="0"/>
        </w:rPr>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i w:val="1"/>
          <w:iCs w:val="1"/>
          <w:color w:val="0e2841"/>
          <w:sz w:val="21"/>
          <w:szCs w:val="21"/>
          <w:shd w:fill="c6c6c6" w:val="clear"/>
        </w:rPr>
      </w:pPr>
      <w:r w:rsidDel="00000000" w:rsidR="00000000" w:rsidRPr="00000000">
        <w:rPr>
          <w:b w:val="1"/>
          <w:bCs w:val="1"/>
          <w:i w:val="1"/>
          <w:iCs w:val="1"/>
          <w:color w:val="0e2841"/>
          <w:sz w:val="21"/>
          <w:szCs w:val="21"/>
          <w:rtl w:val="0"/>
        </w:rPr>
        <w:t xml:space="preserve">Tabela </w:t>
      </w:r>
      <w:r w:rsidDel="00000000" w:rsidR="00000000" w:rsidRPr="00000000">
        <w:rPr>
          <w:b w:val="1"/>
          <w:bCs w:val="1"/>
          <w:i w:val="1"/>
          <w:iCs w:val="1"/>
          <w:sz w:val="21"/>
          <w:szCs w:val="21"/>
          <w:shd w:fill="e1e3e6" w:val="clear"/>
          <w:rtl w:val="0"/>
        </w:rPr>
        <w:t xml:space="preserve">2</w:t>
      </w:r>
      <w:r w:rsidDel="00000000" w:rsidR="00000000" w:rsidRPr="00000000">
        <w:rPr>
          <w:b w:val="1"/>
          <w:bCs w:val="1"/>
          <w:i w:val="1"/>
          <w:iCs w:val="1"/>
          <w:color w:val="0e2841"/>
          <w:sz w:val="21"/>
          <w:szCs w:val="21"/>
          <w:rtl w:val="0"/>
        </w:rPr>
        <w:t xml:space="preserve"> – Segmentos das instituições financeiras</w:t>
      </w:r>
      <w:r w:rsidDel="00000000" w:rsidR="00000000" w:rsidRPr="00000000">
        <w:rPr>
          <w:i w:val="1"/>
          <w:iCs w:val="1"/>
          <w:color w:val="0e2841"/>
          <w:sz w:val="21"/>
          <w:szCs w:val="21"/>
          <w:shd w:fill="c6c6c6" w:val="clear"/>
          <w:rtl w:val="0"/>
        </w:rPr>
        <w:t xml:space="preserve"> </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shd w:fill="c6c6c6" w:val="clear"/>
        </w:rPr>
      </w:pPr>
      <w:r w:rsidDel="00000000" w:rsidR="00000000" w:rsidRPr="00000000">
        <w:rPr>
          <w:i w:val="1"/>
          <w:iCs w:val="1"/>
          <w:color w:val="0e2841"/>
          <w:sz w:val="21"/>
          <w:szCs w:val="21"/>
          <w:shd w:fill="c6c6c6" w:val="clear"/>
        </w:rPr>
        <w:drawing>
          <wp:inline distB="114300" distT="114300" distL="114300" distR="114300">
            <wp:extent cx="4787900" cy="41402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787900" cy="4140200"/>
                    </a:xfrm>
                    <a:prstGeom prst="rect"/>
                    <a:ln/>
                  </pic:spPr>
                </pic:pic>
              </a:graphicData>
            </a:graphic>
          </wp:inline>
        </w:drawing>
      </w:r>
      <w:r w:rsidDel="00000000" w:rsidR="00000000" w:rsidRPr="00000000">
        <w:rPr>
          <w:sz w:val="24"/>
          <w:szCs w:val="24"/>
          <w:shd w:fill="c6c6c6" w:val="clear"/>
          <w:rtl w:val="0"/>
        </w:rPr>
        <w:t xml:space="preserve"> </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16"/>
          <w:szCs w:val="16"/>
          <w:shd w:fill="c6c6c6" w:val="clear"/>
        </w:rPr>
      </w:pPr>
      <w:r w:rsidDel="00000000" w:rsidR="00000000" w:rsidRPr="00000000">
        <w:rPr>
          <w:i w:val="1"/>
          <w:iCs w:val="1"/>
          <w:sz w:val="16"/>
          <w:szCs w:val="16"/>
          <w:rtl w:val="0"/>
        </w:rPr>
        <w:t xml:space="preserve">Fonte: BANCO CENTRAL DO BRASIL. Metodologia – Versão 2. Disponível em: &lt;https://www.bcb.gov.br/pda/desig/metodologia_versao2.pdf&gt;. Acesso em: 21 mar. 2026.</w:t>
      </w:r>
      <w:r w:rsidDel="00000000" w:rsidR="00000000" w:rsidRPr="00000000">
        <w:rPr>
          <w:sz w:val="16"/>
          <w:szCs w:val="16"/>
          <w:shd w:fill="c6c6c6" w:val="clear"/>
          <w:rtl w:val="0"/>
        </w:rPr>
        <w:t xml:space="preserve"> </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O dataset reúne informações agregadas sobre operações de crédito no Brasil, disponibilizadas pelo Banco Central por meio do Sistema de Informações de Créditos (SCR). Esses dados representam um panorama geral do mercado de crédito, sem identificar indivíduos, sendo utilizados para análises econômicas e financeiras.</w:t>
      </w:r>
      <w:r w:rsidDel="00000000" w:rsidR="00000000" w:rsidRPr="00000000">
        <w:rPr>
          <w:sz w:val="24"/>
          <w:szCs w:val="24"/>
          <w:shd w:fill="c6c6c6" w:val="clear"/>
          <w:rtl w:val="0"/>
        </w:rPr>
        <w:t xml:space="preserve"> </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Em resumo, trata-se de uma base confiável e periódica que permite acompanhar a evolução do crédito no país ao longo do tempo, sendo útil para estudos, pesquisas e análises de tendências econômicas.</w:t>
      </w:r>
      <w:r w:rsidDel="00000000" w:rsidR="00000000" w:rsidRPr="00000000">
        <w:rPr>
          <w:sz w:val="24"/>
          <w:szCs w:val="24"/>
          <w:shd w:fill="c6c6c6" w:val="clear"/>
          <w:rtl w:val="0"/>
        </w:rPr>
        <w:t xml:space="preserve"> </w:t>
      </w:r>
    </w:p>
    <w:p w:rsidR="00000000" w:rsidDel="00000000" w:rsidP="00000000" w:rsidRDefault="00000000" w:rsidRPr="00000000" w14:paraId="000000DE">
      <w:pPr>
        <w:numPr>
          <w:ilvl w:val="0"/>
          <w:numId w:val="2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Proposta:</w:t>
      </w:r>
      <w:r w:rsidDel="00000000" w:rsidR="00000000" w:rsidRPr="00000000">
        <w:rPr>
          <w:sz w:val="24"/>
          <w:szCs w:val="24"/>
          <w:rtl w:val="0"/>
        </w:rPr>
        <w:t xml:space="preserve"> A proposta do projeto é analisar os dados públicos do SCR.data para entender melhor aspectos relacionados ao crédito no Brasil. A intenção é observar como os dados podem revelar padrões sobre concessão, evolução e possíveis comportamentos do crédito, gerando uma visão inicial que sirva como apoio para análises futuras mais aprofundadas. O estudo também busca mostrar como bases públicas podem ser usadas em projetos de Ciência de Dados com foco em problemas reais.</w:t>
      </w:r>
      <w:r w:rsidDel="00000000" w:rsidR="00000000" w:rsidRPr="00000000">
        <w:rPr>
          <w:sz w:val="24"/>
          <w:szCs w:val="24"/>
          <w:shd w:fill="c6c6c6" w:val="clear"/>
          <w:rtl w:val="0"/>
        </w:rPr>
        <w:t xml:space="preserve"> </w:t>
      </w:r>
    </w:p>
    <w:p w:rsidR="00000000" w:rsidDel="00000000" w:rsidP="00000000" w:rsidRDefault="00000000" w:rsidRPr="00000000" w14:paraId="000000DF">
      <w:pPr>
        <w:numPr>
          <w:ilvl w:val="0"/>
          <w:numId w:val="3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b w:val="1"/>
          <w:bCs w:val="1"/>
          <w:sz w:val="24"/>
          <w:szCs w:val="24"/>
          <w:rtl w:val="0"/>
        </w:rPr>
        <w:t xml:space="preserve">Problemas ou fenômenos registrados:</w:t>
      </w:r>
      <w:r w:rsidDel="00000000" w:rsidR="00000000" w:rsidRPr="00000000">
        <w:rPr>
          <w:sz w:val="24"/>
          <w:szCs w:val="24"/>
          <w:rtl w:val="0"/>
        </w:rPr>
        <w:t xml:space="preserve"> Entre os fenômenos que podem ser observados na base estão a evolução das operações de crédito ao longo do tempo, possíveis variações por tipo de informação disponível, comportamento agregado das operações e indícios relacionados ao endividamento e inadimplência. Esses dados podem ajudar a entender melhor como o crédito se comporta em diferentes períodos e como esse tipo de informação pode ser útil em análises econômicas e financeiras.</w:t>
      </w:r>
      <w:r w:rsidDel="00000000" w:rsidR="00000000" w:rsidRPr="00000000">
        <w:rPr>
          <w:sz w:val="24"/>
          <w:szCs w:val="24"/>
          <w:shd w:fill="c6c6c6" w:val="clear"/>
          <w:rtl w:val="0"/>
        </w:rPr>
        <w:t xml:space="preserve"> </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36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32"/>
          <w:szCs w:val="32"/>
          <w:shd w:fill="c6c6c6" w:val="clear"/>
        </w:rPr>
      </w:pPr>
      <w:r w:rsidDel="00000000" w:rsidR="00000000" w:rsidRPr="00000000">
        <w:rPr>
          <w:color w:val="0f4761"/>
          <w:sz w:val="32"/>
          <w:szCs w:val="32"/>
          <w:rtl w:val="0"/>
        </w:rPr>
        <w:t xml:space="preserve">4. Cronograma de Atividades</w:t>
      </w:r>
      <w:r w:rsidDel="00000000" w:rsidR="00000000" w:rsidRPr="00000000">
        <w:rPr>
          <w:color w:val="0f4761"/>
          <w:sz w:val="32"/>
          <w:szCs w:val="32"/>
          <w:shd w:fill="c6c6c6" w:val="clear"/>
          <w:rtl w:val="0"/>
        </w:rPr>
        <w:t xml:space="preserve"> </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hyperlink r:id="rId9">
        <w:r w:rsidDel="00000000" w:rsidR="00000000" w:rsidRPr="00000000">
          <w:rPr>
            <w:color w:val="467886"/>
            <w:sz w:val="24"/>
            <w:szCs w:val="24"/>
            <w:u w:val="single"/>
            <w:rtl w:val="0"/>
          </w:rPr>
          <w:t xml:space="preserve">https://github.com/Ecallado/PROJETO-APLICADO-1/blob/main/DOC/01_planejamento/Cronograma%20-%20V210326.xlsx</w:t>
        </w:r>
      </w:hyperlink>
      <w:r w:rsidDel="00000000" w:rsidR="00000000" w:rsidRPr="00000000">
        <w:rPr>
          <w:sz w:val="24"/>
          <w:szCs w:val="24"/>
          <w:shd w:fill="c6c6c6" w:val="clear"/>
          <w:rtl w:val="0"/>
        </w:rPr>
        <w:t xml:space="preserve"> </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color w:val="0f4761"/>
          <w:sz w:val="32"/>
          <w:szCs w:val="32"/>
          <w:shd w:fill="c6c6c6" w:val="clear"/>
        </w:rPr>
      </w:pPr>
      <w:r w:rsidDel="00000000" w:rsidR="00000000" w:rsidRPr="00000000">
        <w:rPr>
          <w:color w:val="0f4761"/>
          <w:sz w:val="32"/>
          <w:szCs w:val="32"/>
          <w:rtl w:val="0"/>
        </w:rPr>
        <w:t xml:space="preserve">5. Referências</w:t>
      </w:r>
      <w:r w:rsidDel="00000000" w:rsidR="00000000" w:rsidRPr="00000000">
        <w:rPr>
          <w:color w:val="0f4761"/>
          <w:sz w:val="32"/>
          <w:szCs w:val="32"/>
          <w:shd w:fill="c6c6c6" w:val="clear"/>
          <w:rtl w:val="0"/>
        </w:rPr>
        <w:t xml:space="preserve"> </w:t>
      </w:r>
    </w:p>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i w:val="1"/>
          <w:iCs w:val="1"/>
          <w:sz w:val="24"/>
          <w:szCs w:val="24"/>
          <w:rtl w:val="0"/>
        </w:rPr>
        <w:t xml:space="preserve">BANCO CENTRAL DO BRASIL. SCR.data. Portal de Dados Abertos do Banco Central do Brasil. Disponível em: </w:t>
      </w:r>
      <w:hyperlink r:id="rId10">
        <w:r w:rsidDel="00000000" w:rsidR="00000000" w:rsidRPr="00000000">
          <w:rPr>
            <w:i w:val="1"/>
            <w:iCs w:val="1"/>
            <w:color w:val="467886"/>
            <w:sz w:val="24"/>
            <w:szCs w:val="24"/>
            <w:u w:val="single"/>
            <w:rtl w:val="0"/>
          </w:rPr>
          <w:t xml:space="preserve">https://dadosabertos.bcb.gov.br/dataset/scr_data</w:t>
        </w:r>
      </w:hyperlink>
      <w:r w:rsidDel="00000000" w:rsidR="00000000" w:rsidRPr="00000000">
        <w:rPr>
          <w:i w:val="1"/>
          <w:iCs w:val="1"/>
          <w:sz w:val="24"/>
          <w:szCs w:val="24"/>
          <w:rtl w:val="0"/>
        </w:rPr>
        <w:t xml:space="preserve">. Acesso em: 16 mar. 2026.</w:t>
      </w:r>
      <w:r w:rsidDel="00000000" w:rsidR="00000000" w:rsidRPr="00000000">
        <w:rPr>
          <w:sz w:val="24"/>
          <w:szCs w:val="24"/>
          <w:shd w:fill="c6c6c6" w:val="clear"/>
          <w:rtl w:val="0"/>
        </w:rPr>
        <w:t xml:space="preserve"> </w:t>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BANCO CENTRAL DO BRASIL. </w:t>
      </w:r>
      <w:r w:rsidDel="00000000" w:rsidR="00000000" w:rsidRPr="00000000">
        <w:rPr>
          <w:i w:val="1"/>
          <w:iCs w:val="1"/>
          <w:sz w:val="24"/>
          <w:szCs w:val="24"/>
          <w:rtl w:val="0"/>
        </w:rPr>
        <w:t xml:space="preserve">Metodologia do SCR.data</w:t>
      </w:r>
      <w:r w:rsidDel="00000000" w:rsidR="00000000" w:rsidRPr="00000000">
        <w:rPr>
          <w:sz w:val="24"/>
          <w:szCs w:val="24"/>
          <w:rtl w:val="0"/>
        </w:rPr>
        <w:t xml:space="preserve">. Disponível em: </w:t>
      </w:r>
      <w:hyperlink r:id="rId11">
        <w:r w:rsidDel="00000000" w:rsidR="00000000" w:rsidRPr="00000000">
          <w:rPr>
            <w:color w:val="467886"/>
            <w:sz w:val="24"/>
            <w:szCs w:val="24"/>
            <w:u w:val="single"/>
            <w:rtl w:val="0"/>
          </w:rPr>
          <w:t xml:space="preserve">https://www.bcb.gov.br/pda/desig/metodologia_versao2.pdf</w:t>
        </w:r>
      </w:hyperlink>
      <w:r w:rsidDel="00000000" w:rsidR="00000000" w:rsidRPr="00000000">
        <w:rPr>
          <w:sz w:val="24"/>
          <w:szCs w:val="24"/>
          <w:rtl w:val="0"/>
        </w:rPr>
        <w:t xml:space="preserve">. Acesso em: 16 mar. 2026.</w:t>
      </w:r>
      <w:r w:rsidDel="00000000" w:rsidR="00000000" w:rsidRPr="00000000">
        <w:rPr>
          <w:sz w:val="24"/>
          <w:szCs w:val="24"/>
          <w:shd w:fill="c6c6c6" w:val="clear"/>
          <w:rtl w:val="0"/>
        </w:rPr>
        <w:t xml:space="preserve"> </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BANCO CENTRAL DO BRASIL. </w:t>
      </w:r>
      <w:r w:rsidDel="00000000" w:rsidR="00000000" w:rsidRPr="00000000">
        <w:rPr>
          <w:i w:val="1"/>
          <w:iCs w:val="1"/>
          <w:sz w:val="24"/>
          <w:szCs w:val="24"/>
          <w:rtl w:val="0"/>
        </w:rPr>
        <w:t xml:space="preserve">SCR.data: metodologia</w:t>
      </w:r>
      <w:r w:rsidDel="00000000" w:rsidR="00000000" w:rsidRPr="00000000">
        <w:rPr>
          <w:sz w:val="24"/>
          <w:szCs w:val="24"/>
          <w:rtl w:val="0"/>
        </w:rPr>
        <w:t xml:space="preserve">. Disponível em: </w:t>
      </w:r>
      <w:hyperlink r:id="rId12">
        <w:r w:rsidDel="00000000" w:rsidR="00000000" w:rsidRPr="00000000">
          <w:rPr>
            <w:color w:val="467886"/>
            <w:sz w:val="24"/>
            <w:szCs w:val="24"/>
            <w:u w:val="single"/>
            <w:rtl w:val="0"/>
          </w:rPr>
          <w:t xml:space="preserve">https://www.bcb.gov.br/content/estabilidadefinanceira/scr/scr.data/scr_data_metodologia.pdf</w:t>
        </w:r>
      </w:hyperlink>
      <w:r w:rsidDel="00000000" w:rsidR="00000000" w:rsidRPr="00000000">
        <w:rPr>
          <w:sz w:val="24"/>
          <w:szCs w:val="24"/>
          <w:rtl w:val="0"/>
        </w:rPr>
        <w:t xml:space="preserve">. Acesso em: 16 mar. 2026.</w:t>
      </w:r>
      <w:r w:rsidDel="00000000" w:rsidR="00000000" w:rsidRPr="00000000">
        <w:rPr>
          <w:sz w:val="24"/>
          <w:szCs w:val="24"/>
          <w:shd w:fill="c6c6c6" w:val="clear"/>
          <w:rtl w:val="0"/>
        </w:rPr>
        <w:t xml:space="preserve"> </w:t>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Organização das Nações Unidas. </w:t>
      </w:r>
      <w:r w:rsidDel="00000000" w:rsidR="00000000" w:rsidRPr="00000000">
        <w:rPr>
          <w:i w:val="1"/>
          <w:iCs w:val="1"/>
          <w:sz w:val="24"/>
          <w:szCs w:val="24"/>
          <w:rtl w:val="0"/>
        </w:rPr>
        <w:t xml:space="preserve">Objetivos de Desenvolvimento Sustentável no Brasil</w:t>
      </w:r>
      <w:r w:rsidDel="00000000" w:rsidR="00000000" w:rsidRPr="00000000">
        <w:rPr>
          <w:sz w:val="24"/>
          <w:szCs w:val="24"/>
          <w:rtl w:val="0"/>
        </w:rPr>
        <w:t xml:space="preserve">. Disponível em: </w:t>
      </w:r>
      <w:hyperlink r:id="rId13">
        <w:r w:rsidDel="00000000" w:rsidR="00000000" w:rsidRPr="00000000">
          <w:rPr>
            <w:color w:val="467886"/>
            <w:sz w:val="24"/>
            <w:szCs w:val="24"/>
            <w:u w:val="single"/>
            <w:rtl w:val="0"/>
          </w:rPr>
          <w:t xml:space="preserve">https://brasil.un.org/pt-br/sdgs</w:t>
        </w:r>
      </w:hyperlink>
      <w:r w:rsidDel="00000000" w:rsidR="00000000" w:rsidRPr="00000000">
        <w:rPr>
          <w:sz w:val="24"/>
          <w:szCs w:val="24"/>
          <w:rtl w:val="0"/>
        </w:rPr>
        <w:t xml:space="preserve">. Acesso em: 20 mar. 2026.</w:t>
      </w:r>
      <w:r w:rsidDel="00000000" w:rsidR="00000000" w:rsidRPr="00000000">
        <w:rPr>
          <w:sz w:val="24"/>
          <w:szCs w:val="24"/>
          <w:shd w:fill="c6c6c6" w:val="clear"/>
          <w:rtl w:val="0"/>
        </w:rPr>
        <w:t xml:space="preserve"> </w:t>
      </w:r>
    </w:p>
    <w:p w:rsidR="00000000" w:rsidDel="00000000" w:rsidP="00000000" w:rsidRDefault="00000000" w:rsidRPr="00000000" w14:paraId="000000E9">
      <w:pPr>
        <w:jc w:val="left"/>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bcb.gov.br/pda/desig/metodologia_versao2.pdf" TargetMode="External"/><Relationship Id="rId10" Type="http://schemas.openxmlformats.org/officeDocument/2006/relationships/hyperlink" Target="https://dadosabertos.bcb.gov.br/dataset/scr_data" TargetMode="External"/><Relationship Id="rId13" Type="http://schemas.openxmlformats.org/officeDocument/2006/relationships/hyperlink" Target="https://brasil.un.org/pt-br/sdgs" TargetMode="External"/><Relationship Id="rId12" Type="http://schemas.openxmlformats.org/officeDocument/2006/relationships/hyperlink" Target="https://www.bcb.gov.br/content/estabilidadefinanceira/scr/scr.data/scr_data_metodologia.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Ecallado/PROJETO-APLICADO-1/blob/main/DOC/01_planejamento/Cronograma%20-%20V210326.xlsx"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github.com/Ecallado/PROJETO-APLICADO-1.git"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