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r>
        <w:rPr>
          <w:rFonts w:ascii="Aptos Display" w:hAnsi="Aptos Display"/>
          <w:b/>
          <w:color w:val="10B981"/>
          <w:sz w:val="32"/>
        </w:rPr>
        <w:t>ATLAS ONE</w:t>
      </w:r>
    </w:p>
    <w:p>
      <w:pPr>
        <w:pStyle w:val="Title"/>
      </w:pPr>
      <w:r>
        <w:t>Entendimiento y marco técnico de ejecución</w:t>
      </w:r>
    </w:p>
    <w:p>
      <w:pPr>
        <w:pStyle w:val="Subtitle"/>
      </w:pPr>
      <w:r>
        <w:t>Mejoras para remisiones, trazabilidad documental, facturación y pago</w:t>
      </w:r>
    </w:p>
    <w:tbl>
      <w:tblPr>
        <w:tblW w:type="auto" w:w="0"/>
        <w:jc w:val="left"/>
        <w:tblLayout w:type="fixed"/>
        <w:tblLook w:firstColumn="1" w:firstRow="1" w:lastColumn="0" w:lastRow="0" w:noHBand="0" w:noVBand="1" w:val="04A0"/>
      </w:tblPr>
      <w:tblGrid>
        <w:gridCol w:w="5155"/>
        <w:gridCol w:w="5155"/>
      </w:tblGrid>
      <w:tr>
        <w:tc>
          <w:tcPr>
            <w:tcW w:type="dxa" w:w="2304"/>
            <w:shd w:fill="102A43"/>
            <w:tcMar>
              <w:top w:w="130" w:type="dxa"/>
              <w:start w:w="130" w:type="dxa"/>
              <w:bottom w:w="130" w:type="dxa"/>
              <w:end w:w="130" w:type="dxa"/>
            </w:tcMar>
            <w:tcBorders>
              <w:bottom w:val="single" w:sz="4" w:color="FFFFFF"/>
            </w:tcBorders>
          </w:tcPr>
          <w:p>
            <w:pPr>
              <w:pStyle w:val="TableCompact"/>
            </w:pPr>
            <w:r>
              <w:rPr>
                <w:b/>
                <w:color w:val="FFFFFF"/>
              </w:rPr>
              <w:t>Dirigido a</w:t>
            </w:r>
          </w:p>
        </w:tc>
        <w:tc>
          <w:tcPr>
            <w:tcW w:type="dxa" w:w="7128"/>
            <w:shd w:fill="F3F4F6"/>
            <w:tcMar>
              <w:top w:w="130" w:type="dxa"/>
              <w:start w:w="130" w:type="dxa"/>
              <w:bottom w:w="130" w:type="dxa"/>
              <w:end w:w="130" w:type="dxa"/>
            </w:tcMar>
            <w:tcBorders>
              <w:bottom w:val="single" w:sz="4" w:color="FFFFFF"/>
            </w:tcBorders>
          </w:tcPr>
          <w:p>
            <w:pPr>
              <w:pStyle w:val="TableCompact"/>
            </w:pPr>
            <w:r>
              <w:t>Equipo DASIC</w:t>
            </w:r>
          </w:p>
        </w:tc>
      </w:tr>
      <w:tr>
        <w:tc>
          <w:tcPr>
            <w:tcW w:type="dxa" w:w="2304"/>
            <w:shd w:fill="102A43"/>
            <w:tcMar>
              <w:top w:w="130" w:type="dxa"/>
              <w:start w:w="130" w:type="dxa"/>
              <w:bottom w:w="130" w:type="dxa"/>
              <w:end w:w="130" w:type="dxa"/>
            </w:tcMar>
            <w:tcBorders>
              <w:bottom w:val="single" w:sz="4" w:color="FFFFFF"/>
            </w:tcBorders>
          </w:tcPr>
          <w:p>
            <w:pPr>
              <w:pStyle w:val="TableCompact"/>
            </w:pPr>
            <w:r>
              <w:rPr>
                <w:b/>
                <w:color w:val="FFFFFF"/>
              </w:rPr>
              <w:t>Fecha</w:t>
            </w:r>
          </w:p>
        </w:tc>
        <w:tc>
          <w:tcPr>
            <w:tcW w:type="dxa" w:w="7128"/>
            <w:shd w:fill="F3F4F6"/>
            <w:tcMar>
              <w:top w:w="130" w:type="dxa"/>
              <w:start w:w="130" w:type="dxa"/>
              <w:bottom w:w="130" w:type="dxa"/>
              <w:end w:w="130" w:type="dxa"/>
            </w:tcMar>
            <w:tcBorders>
              <w:bottom w:val="single" w:sz="4" w:color="FFFFFF"/>
            </w:tcBorders>
          </w:tcPr>
          <w:p>
            <w:pPr>
              <w:pStyle w:val="TableCompact"/>
            </w:pPr>
            <w:r>
              <w:t>5 de agosto de 2026</w:t>
            </w:r>
          </w:p>
        </w:tc>
      </w:tr>
      <w:tr>
        <w:tc>
          <w:tcPr>
            <w:tcW w:type="dxa" w:w="2304"/>
            <w:shd w:fill="102A43"/>
            <w:tcMar>
              <w:top w:w="130" w:type="dxa"/>
              <w:start w:w="130" w:type="dxa"/>
              <w:bottom w:w="130" w:type="dxa"/>
              <w:end w:w="130" w:type="dxa"/>
            </w:tcMar>
            <w:tcBorders>
              <w:bottom w:val="single" w:sz="4" w:color="FFFFFF"/>
            </w:tcBorders>
          </w:tcPr>
          <w:p>
            <w:pPr>
              <w:pStyle w:val="TableCompact"/>
            </w:pPr>
            <w:r>
              <w:rPr>
                <w:b/>
                <w:color w:val="FFFFFF"/>
              </w:rPr>
              <w:t>Clasificación</w:t>
            </w:r>
          </w:p>
        </w:tc>
        <w:tc>
          <w:tcPr>
            <w:tcW w:type="dxa" w:w="7128"/>
            <w:shd w:fill="F3F4F6"/>
            <w:tcMar>
              <w:top w:w="130" w:type="dxa"/>
              <w:start w:w="130" w:type="dxa"/>
              <w:bottom w:w="130" w:type="dxa"/>
              <w:end w:w="130" w:type="dxa"/>
            </w:tcMar>
            <w:tcBorders>
              <w:bottom w:val="single" w:sz="4" w:color="FFFFFF"/>
            </w:tcBorders>
          </w:tcPr>
          <w:p>
            <w:pPr>
              <w:pStyle w:val="TableCompact"/>
            </w:pPr>
            <w:r>
              <w:t>Propuesta técnica para validación funcional</w:t>
            </w:r>
          </w:p>
        </w:tc>
      </w:tr>
    </w:tbl>
    <w:p/>
    <w:tbl>
      <w:tblPr>
        <w:tblW w:type="auto" w:w="0"/>
        <w:jc w:val="center"/>
        <w:tblLayout w:type="fixed"/>
        <w:tblLook w:firstColumn="1" w:firstRow="1" w:lastColumn="0" w:lastRow="0" w:noHBand="0" w:noVBand="1" w:val="04A0"/>
      </w:tblPr>
      <w:tblGrid>
        <w:gridCol w:w="10310"/>
      </w:tblGrid>
      <w:tr>
        <w:tc>
          <w:tcPr>
            <w:tcW w:type="dxa" w:w="9432"/>
            <w:shd w:fill="E8F7F0"/>
            <w:tcMar>
              <w:top w:w="115" w:type="dxa"/>
              <w:start w:w="150" w:type="dxa"/>
              <w:bottom w:w="115" w:type="dxa"/>
              <w:end w:w="130" w:type="dxa"/>
            </w:tcMar>
            <w:tcBorders>
              <w:top w:val="nil"/>
              <w:left w:val="single" w:sz="28" w:space="0" w:color="0F766E"/>
              <w:bottom w:val="nil"/>
              <w:right w:val="nil"/>
            </w:tcBorders>
          </w:tcPr>
          <w:p>
            <w:pPr>
              <w:pStyle w:val="TableCompact"/>
            </w:pPr>
            <w:r>
              <w:rPr>
                <w:b/>
                <w:color w:val="0F766E"/>
              </w:rPr>
              <w:t>Base documental</w:t>
              <w:br/>
            </w:r>
            <w:r>
              <w:rPr>
                <w:sz w:val="18"/>
              </w:rPr>
              <w:t>El contenido se construyó a partir del estatus productivo compartido por Atlas, del documento “Solicitudes de ERP” proporcionado por miembros de DASIC y del backlog técnico preparado para su ejecución. Las capacidades reportadas como construidas permanecen sujetas a validación funcional y pruebas de aceptación.</w:t>
            </w:r>
          </w:p>
        </w:tc>
      </w:tr>
    </w:tbl>
    <w:p>
      <w:pPr>
        <w:spacing w:after="0"/>
      </w:pPr>
    </w:p>
    <w:p>
      <w:r>
        <w:br w:type="page"/>
      </w:r>
    </w:p>
    <w:p>
      <w:pPr>
        <w:pStyle w:val="Heading1"/>
      </w:pPr>
      <w:r>
        <w:t>1. Propósito del documento</w:t>
      </w:r>
    </w:p>
    <w:p>
      <w:r>
        <w:t>Este documento resume lo que Atlas entiende de las solicitudes compartidas por el equipo DASIC, distingue lo que ya fue reportado como construido de lo que todavía debe validarse o desarrollarse, y establece el marco funcional y técnico con el que se ejecutarán los cambios. Su objetivo es alinear alcance, invariantes de dominio, prioridades y criterios de aceptación antes de liberar modificaciones en producción.</w:t>
      </w:r>
    </w:p>
    <w:tbl>
      <w:tblPr>
        <w:tblW w:type="auto" w:w="0"/>
        <w:jc w:val="center"/>
        <w:tblLayout w:type="fixed"/>
        <w:tblLook w:firstColumn="1" w:firstRow="1" w:lastColumn="0" w:lastRow="0" w:noHBand="0" w:noVBand="1" w:val="04A0"/>
      </w:tblPr>
      <w:tblGrid>
        <w:gridCol w:w="10310"/>
      </w:tblGrid>
      <w:tr>
        <w:tc>
          <w:tcPr>
            <w:tcW w:type="dxa" w:w="9432"/>
            <w:shd w:fill="E8F7F0"/>
            <w:tcMar>
              <w:top w:w="115" w:type="dxa"/>
              <w:start w:w="150" w:type="dxa"/>
              <w:bottom w:w="115" w:type="dxa"/>
              <w:end w:w="130" w:type="dxa"/>
            </w:tcMar>
            <w:tcBorders>
              <w:top w:val="nil"/>
              <w:left w:val="single" w:sz="28" w:space="0" w:color="0F766E"/>
              <w:bottom w:val="nil"/>
              <w:right w:val="nil"/>
            </w:tcBorders>
          </w:tcPr>
          <w:p>
            <w:pPr>
              <w:pStyle w:val="TableCompact"/>
            </w:pPr>
            <w:r>
              <w:rPr>
                <w:b/>
                <w:color w:val="0F766E"/>
              </w:rPr>
              <w:t>Resultado esperado</w:t>
              <w:br/>
            </w:r>
            <w:r>
              <w:rPr>
                <w:sz w:val="18"/>
              </w:rPr>
              <w:t>Consolidar un flujo confiable de cotización a entrega y cobranza, evitando recaptura, manteniendo la trazabilidad de documentos y permitiendo remisiones parciales sin alterar la cotización de origen.</w:t>
            </w:r>
          </w:p>
        </w:tc>
      </w:tr>
    </w:tbl>
    <w:p>
      <w:pPr>
        <w:spacing w:after="0"/>
      </w:pPr>
    </w:p>
    <w:p>
      <w:pPr>
        <w:pStyle w:val="Heading1"/>
      </w:pPr>
      <w:r>
        <w:t>2. Contexto operativo</w:t>
      </w:r>
    </w:p>
    <w:p>
      <w:r>
        <w:t>Atlas ONE · DASIC Industrial ya opera con datos reales. El cotizador es el núcleo de uso diario y el módulo de remisiones comenzó a utilizarse durante la semana actual. El estatus técnico más reciente reporta remisiones v2 con entregas parciales, cantidades pendientes, unidades comerciales, conversión desde cotización y un editor híbrido semejante al cotizador. Por ello, varias solicitudes pueden encontrarse implementadas total o parcialmente y deben validarse antes de generar código adicional.</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3096"/>
            <w:shd w:fill="102A43"/>
            <w:tcMar>
              <w:top w:w="85" w:type="dxa"/>
              <w:start w:w="80" w:type="dxa"/>
              <w:bottom w:w="85" w:type="dxa"/>
              <w:end w:w="80" w:type="dxa"/>
            </w:tcMar>
            <w:vAlign w:val="center"/>
          </w:tcPr>
          <w:p>
            <w:r>
              <w:rPr>
                <w:b/>
                <w:color w:val="FFFFFF"/>
                <w:sz w:val="16"/>
              </w:rPr>
              <w:t>Señal productiva</w:t>
            </w:r>
          </w:p>
        </w:tc>
        <w:tc>
          <w:tcPr>
            <w:tcW w:type="dxa" w:w="6336"/>
            <w:shd w:fill="102A43"/>
            <w:tcMar>
              <w:top w:w="85" w:type="dxa"/>
              <w:start w:w="80" w:type="dxa"/>
              <w:bottom w:w="85" w:type="dxa"/>
              <w:end w:w="80" w:type="dxa"/>
            </w:tcMar>
            <w:vAlign w:val="center"/>
          </w:tcPr>
          <w:p>
            <w:r>
              <w:rPr>
                <w:b/>
                <w:color w:val="FFFFFF"/>
                <w:sz w:val="16"/>
              </w:rPr>
              <w:t>Lectura</w:t>
            </w:r>
          </w:p>
        </w:tc>
      </w:tr>
      <w:tr>
        <w:trPr>
          <w:cantSplit/>
        </w:trPr>
        <w:tc>
          <w:tcPr>
            <w:tcW w:type="dxa" w:w="3096"/>
            <w:tcMar>
              <w:top w:w="70" w:type="dxa"/>
              <w:start w:w="70" w:type="dxa"/>
              <w:bottom w:w="70" w:type="dxa"/>
              <w:end w:w="70" w:type="dxa"/>
            </w:tcMar>
            <w:vAlign w:val="top"/>
          </w:tcPr>
          <w:p>
            <w:pPr>
              <w:pStyle w:val="TableCompact"/>
            </w:pPr>
            <w:r>
              <w:rPr>
                <w:sz w:val="16"/>
              </w:rPr>
              <w:t>192 cotizaciones y 618 líneas</w:t>
            </w:r>
          </w:p>
        </w:tc>
        <w:tc>
          <w:tcPr>
            <w:tcW w:type="dxa" w:w="6336"/>
            <w:tcMar>
              <w:top w:w="70" w:type="dxa"/>
              <w:start w:w="70" w:type="dxa"/>
              <w:bottom w:w="70" w:type="dxa"/>
              <w:end w:w="70" w:type="dxa"/>
            </w:tcMar>
            <w:vAlign w:val="top"/>
          </w:tcPr>
          <w:p>
            <w:pPr>
              <w:pStyle w:val="TableCompact"/>
            </w:pPr>
            <w:r>
              <w:rPr>
                <w:sz w:val="16"/>
              </w:rPr>
              <w:t>El proceso comercial ya es crítico y debe preservarse durante los cambios.</w:t>
            </w:r>
          </w:p>
        </w:tc>
      </w:tr>
      <w:tr>
        <w:trPr>
          <w:cantSplit/>
        </w:trPr>
        <w:tc>
          <w:tcPr>
            <w:tcW w:type="dxa" w:w="3096"/>
            <w:tcMar>
              <w:top w:w="70" w:type="dxa"/>
              <w:start w:w="70" w:type="dxa"/>
              <w:bottom w:w="70" w:type="dxa"/>
              <w:end w:w="70" w:type="dxa"/>
            </w:tcMar>
            <w:vAlign w:val="top"/>
            <w:shd w:fill="F8FAFC"/>
          </w:tcPr>
          <w:p>
            <w:pPr>
              <w:pStyle w:val="TableCompact"/>
            </w:pPr>
            <w:r>
              <w:rPr>
                <w:sz w:val="16"/>
              </w:rPr>
              <w:t>11 remisiones emitidas</w:t>
            </w:r>
          </w:p>
        </w:tc>
        <w:tc>
          <w:tcPr>
            <w:tcW w:type="dxa" w:w="6336"/>
            <w:tcMar>
              <w:top w:w="70" w:type="dxa"/>
              <w:start w:w="70" w:type="dxa"/>
              <w:bottom w:w="70" w:type="dxa"/>
              <w:end w:w="70" w:type="dxa"/>
            </w:tcMar>
            <w:vAlign w:val="top"/>
            <w:shd w:fill="F8FAFC"/>
          </w:tcPr>
          <w:p>
            <w:pPr>
              <w:pStyle w:val="TableCompact"/>
            </w:pPr>
            <w:r>
              <w:rPr>
                <w:sz w:val="16"/>
              </w:rPr>
              <w:t>El flujo está entrando en operación y debe estabilizarse con usuarios reales.</w:t>
            </w:r>
          </w:p>
        </w:tc>
      </w:tr>
      <w:tr>
        <w:trPr>
          <w:cantSplit/>
        </w:trPr>
        <w:tc>
          <w:tcPr>
            <w:tcW w:type="dxa" w:w="3096"/>
            <w:tcMar>
              <w:top w:w="70" w:type="dxa"/>
              <w:start w:w="70" w:type="dxa"/>
              <w:bottom w:w="70" w:type="dxa"/>
              <w:end w:w="70" w:type="dxa"/>
            </w:tcMar>
            <w:vAlign w:val="top"/>
          </w:tcPr>
          <w:p>
            <w:pPr>
              <w:pStyle w:val="TableCompact"/>
            </w:pPr>
            <w:r>
              <w:rPr>
                <w:sz w:val="16"/>
              </w:rPr>
              <w:t>1,026 movimientos de stock</w:t>
            </w:r>
          </w:p>
        </w:tc>
        <w:tc>
          <w:tcPr>
            <w:tcW w:type="dxa" w:w="6336"/>
            <w:tcMar>
              <w:top w:w="70" w:type="dxa"/>
              <w:start w:w="70" w:type="dxa"/>
              <w:bottom w:w="70" w:type="dxa"/>
              <w:end w:w="70" w:type="dxa"/>
            </w:tcMar>
            <w:vAlign w:val="top"/>
          </w:tcPr>
          <w:p>
            <w:pPr>
              <w:pStyle w:val="TableCompact"/>
            </w:pPr>
            <w:r>
              <w:rPr>
                <w:sz w:val="16"/>
              </w:rPr>
              <w:t>Las remisiones deben respetar reservas, liberaciones y cantidades pendientes.</w:t>
            </w:r>
          </w:p>
        </w:tc>
      </w:tr>
      <w:tr>
        <w:trPr>
          <w:cantSplit/>
        </w:trPr>
        <w:tc>
          <w:tcPr>
            <w:tcW w:type="dxa" w:w="3096"/>
            <w:tcMar>
              <w:top w:w="70" w:type="dxa"/>
              <w:start w:w="70" w:type="dxa"/>
              <w:bottom w:w="70" w:type="dxa"/>
              <w:end w:w="70" w:type="dxa"/>
            </w:tcMar>
            <w:vAlign w:val="top"/>
            <w:shd w:fill="F8FAFC"/>
          </w:tcPr>
          <w:p>
            <w:pPr>
              <w:pStyle w:val="TableCompact"/>
            </w:pPr>
            <w:r>
              <w:rPr>
                <w:sz w:val="16"/>
              </w:rPr>
              <w:t>61 canceladas y 75 pendientes</w:t>
            </w:r>
          </w:p>
        </w:tc>
        <w:tc>
          <w:tcPr>
            <w:tcW w:type="dxa" w:w="6336"/>
            <w:tcMar>
              <w:top w:w="70" w:type="dxa"/>
              <w:start w:w="70" w:type="dxa"/>
              <w:bottom w:w="70" w:type="dxa"/>
              <w:end w:w="70" w:type="dxa"/>
            </w:tcMar>
            <w:vAlign w:val="top"/>
            <w:shd w:fill="F8FAFC"/>
          </w:tcPr>
          <w:p>
            <w:pPr>
              <w:pStyle w:val="TableCompact"/>
            </w:pPr>
            <w:r>
              <w:rPr>
                <w:sz w:val="16"/>
              </w:rPr>
              <w:t>Se requiere mayor trazabilidad de estados y causas antes de interpretar conversión.</w:t>
            </w:r>
          </w:p>
        </w:tc>
      </w:tr>
      <w:tr>
        <w:trPr>
          <w:cantSplit/>
        </w:trPr>
        <w:tc>
          <w:tcPr>
            <w:tcW w:type="dxa" w:w="3096"/>
            <w:tcMar>
              <w:top w:w="70" w:type="dxa"/>
              <w:start w:w="70" w:type="dxa"/>
              <w:bottom w:w="70" w:type="dxa"/>
              <w:end w:w="70" w:type="dxa"/>
            </w:tcMar>
            <w:vAlign w:val="top"/>
          </w:tcPr>
          <w:p>
            <w:pPr>
              <w:pStyle w:val="TableCompact"/>
            </w:pPr>
            <w:r>
              <w:rPr>
                <w:sz w:val="16"/>
              </w:rPr>
              <w:t>32 endpoints sin interfaz</w:t>
            </w:r>
          </w:p>
        </w:tc>
        <w:tc>
          <w:tcPr>
            <w:tcW w:type="dxa" w:w="6336"/>
            <w:tcMar>
              <w:top w:w="70" w:type="dxa"/>
              <w:start w:w="70" w:type="dxa"/>
              <w:bottom w:w="70" w:type="dxa"/>
              <w:end w:w="70" w:type="dxa"/>
            </w:tcMar>
            <w:vAlign w:val="top"/>
          </w:tcPr>
          <w:p>
            <w:pPr>
              <w:pStyle w:val="TableCompact"/>
            </w:pPr>
            <w:r>
              <w:rPr>
                <w:sz w:val="16"/>
              </w:rPr>
              <w:t>Existen capacidades de backend que pueden activarse sin reconstruir el dominio.</w:t>
            </w:r>
          </w:p>
        </w:tc>
      </w:tr>
    </w:tbl>
    <w:p>
      <w:pPr>
        <w:spacing w:after="0"/>
      </w:pPr>
    </w:p>
    <w:p>
      <w:pPr>
        <w:pStyle w:val="Heading1"/>
      </w:pPr>
      <w:r>
        <w:t>3. North Star y objetivo de producto</w:t>
      </w:r>
    </w:p>
    <w:tbl>
      <w:tblPr>
        <w:tblW w:type="auto" w:w="0"/>
        <w:jc w:val="center"/>
        <w:tblLayout w:type="fixed"/>
        <w:tblLook w:firstColumn="1" w:firstRow="1" w:lastColumn="0" w:lastRow="0" w:noHBand="0" w:noVBand="1" w:val="04A0"/>
      </w:tblPr>
      <w:tblGrid>
        <w:gridCol w:w="10310"/>
      </w:tblGrid>
      <w:tr>
        <w:tc>
          <w:tcPr>
            <w:tcW w:type="dxa" w:w="9432"/>
            <w:shd w:fill="E8F7F0"/>
            <w:tcMar>
              <w:top w:w="115" w:type="dxa"/>
              <w:start w:w="150" w:type="dxa"/>
              <w:bottom w:w="115" w:type="dxa"/>
              <w:end w:w="130" w:type="dxa"/>
            </w:tcMar>
            <w:tcBorders>
              <w:top w:val="nil"/>
              <w:left w:val="single" w:sz="28" w:space="0" w:color="0F766E"/>
              <w:bottom w:val="nil"/>
              <w:right w:val="nil"/>
            </w:tcBorders>
          </w:tcPr>
          <w:p>
            <w:pPr>
              <w:pStyle w:val="TableCompact"/>
            </w:pPr>
            <w:r>
              <w:rPr>
                <w:b/>
                <w:color w:val="0F766E"/>
              </w:rPr>
              <w:t>Product Goal</w:t>
              <w:br/>
            </w:r>
            <w:r>
              <w:rPr>
                <w:sz w:val="18"/>
              </w:rPr>
              <w:t>Cerrar el flujo cotización → remisión parcial/total → entrega → factura → CxC → pago dentro de Atlas ONE, con trazabilidad, permisos y datos consistentes, sin recaptura y sin alterar documentos aprobados.</w:t>
            </w:r>
          </w:p>
        </w:tc>
      </w:tr>
    </w:tbl>
    <w:p>
      <w:pPr>
        <w:spacing w:after="0"/>
      </w:pPr>
    </w:p>
    <w:p>
      <w:r>
        <w:t>La prioridad no es agregar módulos aislados, sino completar el golden path operativo que ya tiene uso real. Cada cambio deberá demostrar que mejora la continuidad del flujo, la calidad del dato o el control operativo.</w:t>
      </w:r>
    </w:p>
    <w:p>
      <w:pPr>
        <w:pStyle w:val="Heading1"/>
      </w:pPr>
      <w:r>
        <w:t>4. Flujo que entendemos que se desea consolidar</w:t>
      </w:r>
    </w:p>
    <w:tbl>
      <w:tblPr>
        <w:tblW w:type="auto" w:w="0"/>
        <w:jc w:val="center"/>
        <w:tblLayout w:type="fixed"/>
        <w:tblLook w:firstColumn="1" w:firstRow="1" w:lastColumn="0" w:lastRow="0" w:noHBand="0" w:noVBand="1" w:val="04A0"/>
      </w:tblPr>
      <w:tblGrid>
        <w:gridCol w:w="1473"/>
        <w:gridCol w:w="1473"/>
        <w:gridCol w:w="1473"/>
        <w:gridCol w:w="1473"/>
        <w:gridCol w:w="1473"/>
        <w:gridCol w:w="1473"/>
        <w:gridCol w:w="1473"/>
      </w:tblGrid>
      <w:tr>
        <w:tc>
          <w:tcPr>
            <w:tcW w:type="dxa" w:w="1347"/>
            <w:shd w:fill="E8F7F0"/>
            <w:tcMar>
              <w:top w:w="125" w:type="dxa"/>
              <w:start w:w="80" w:type="dxa"/>
              <w:bottom w:w="125" w:type="dxa"/>
              <w:end w:w="80" w:type="dxa"/>
            </w:tcMar>
            <w:vAlign w:val="center"/>
          </w:tcPr>
          <w:p>
            <w:pPr>
              <w:jc w:val="center"/>
            </w:pPr>
            <w:r>
              <w:rPr>
                <w:b/>
                <w:color w:val="102A43"/>
                <w:sz w:val="15"/>
              </w:rPr>
              <w:t>Cotización</w:t>
            </w:r>
          </w:p>
        </w:tc>
        <w:tc>
          <w:tcPr>
            <w:tcW w:type="dxa" w:w="1347"/>
            <w:shd w:fill="EAF2F8"/>
            <w:tcMar>
              <w:top w:w="125" w:type="dxa"/>
              <w:start w:w="80" w:type="dxa"/>
              <w:bottom w:w="125" w:type="dxa"/>
              <w:end w:w="80" w:type="dxa"/>
            </w:tcMar>
            <w:vAlign w:val="center"/>
          </w:tcPr>
          <w:p>
            <w:pPr>
              <w:jc w:val="center"/>
            </w:pPr>
            <w:r>
              <w:rPr>
                <w:b/>
                <w:color w:val="102A43"/>
                <w:sz w:val="15"/>
              </w:rPr>
              <w:t>Selección de partidas</w:t>
            </w:r>
          </w:p>
        </w:tc>
        <w:tc>
          <w:tcPr>
            <w:tcW w:type="dxa" w:w="1347"/>
            <w:shd w:fill="E8F7F0"/>
            <w:tcMar>
              <w:top w:w="125" w:type="dxa"/>
              <w:start w:w="80" w:type="dxa"/>
              <w:bottom w:w="125" w:type="dxa"/>
              <w:end w:w="80" w:type="dxa"/>
            </w:tcMar>
            <w:vAlign w:val="center"/>
          </w:tcPr>
          <w:p>
            <w:pPr>
              <w:jc w:val="center"/>
            </w:pPr>
            <w:r>
              <w:rPr>
                <w:b/>
                <w:color w:val="102A43"/>
                <w:sz w:val="15"/>
              </w:rPr>
              <w:t>Remisión parcial o total</w:t>
            </w:r>
          </w:p>
        </w:tc>
        <w:tc>
          <w:tcPr>
            <w:tcW w:type="dxa" w:w="1347"/>
            <w:shd w:fill="EAF2F8"/>
            <w:tcMar>
              <w:top w:w="125" w:type="dxa"/>
              <w:start w:w="80" w:type="dxa"/>
              <w:bottom w:w="125" w:type="dxa"/>
              <w:end w:w="80" w:type="dxa"/>
            </w:tcMar>
            <w:vAlign w:val="center"/>
          </w:tcPr>
          <w:p>
            <w:pPr>
              <w:jc w:val="center"/>
            </w:pPr>
            <w:r>
              <w:rPr>
                <w:b/>
                <w:color w:val="102A43"/>
                <w:sz w:val="15"/>
              </w:rPr>
              <w:t>Entrega</w:t>
            </w:r>
          </w:p>
        </w:tc>
        <w:tc>
          <w:tcPr>
            <w:tcW w:type="dxa" w:w="1347"/>
            <w:shd w:fill="E8F7F0"/>
            <w:tcMar>
              <w:top w:w="125" w:type="dxa"/>
              <w:start w:w="80" w:type="dxa"/>
              <w:bottom w:w="125" w:type="dxa"/>
              <w:end w:w="80" w:type="dxa"/>
            </w:tcMar>
            <w:vAlign w:val="center"/>
          </w:tcPr>
          <w:p>
            <w:pPr>
              <w:jc w:val="center"/>
            </w:pPr>
            <w:r>
              <w:rPr>
                <w:b/>
                <w:color w:val="102A43"/>
                <w:sz w:val="15"/>
              </w:rPr>
              <w:t>Factura de ingreso</w:t>
            </w:r>
          </w:p>
        </w:tc>
        <w:tc>
          <w:tcPr>
            <w:tcW w:type="dxa" w:w="1347"/>
            <w:shd w:fill="EAF2F8"/>
            <w:tcMar>
              <w:top w:w="125" w:type="dxa"/>
              <w:start w:w="80" w:type="dxa"/>
              <w:bottom w:w="125" w:type="dxa"/>
              <w:end w:w="80" w:type="dxa"/>
            </w:tcMar>
            <w:vAlign w:val="center"/>
          </w:tcPr>
          <w:p>
            <w:pPr>
              <w:jc w:val="center"/>
            </w:pPr>
            <w:r>
              <w:rPr>
                <w:b/>
                <w:color w:val="102A43"/>
                <w:sz w:val="15"/>
              </w:rPr>
              <w:t>Pago / complemento</w:t>
            </w:r>
          </w:p>
        </w:tc>
        <w:tc>
          <w:tcPr>
            <w:tcW w:type="dxa" w:w="1347"/>
            <w:shd w:fill="E8F7F0"/>
            <w:tcMar>
              <w:top w:w="125" w:type="dxa"/>
              <w:start w:w="80" w:type="dxa"/>
              <w:bottom w:w="125" w:type="dxa"/>
              <w:end w:w="80" w:type="dxa"/>
            </w:tcMar>
            <w:vAlign w:val="center"/>
          </w:tcPr>
          <w:p>
            <w:pPr>
              <w:jc w:val="center"/>
            </w:pPr>
            <w:r>
              <w:rPr>
                <w:b/>
                <w:color w:val="102A43"/>
                <w:sz w:val="15"/>
              </w:rPr>
              <w:t>Cierre</w:t>
            </w:r>
          </w:p>
        </w:tc>
      </w:tr>
    </w:tbl>
    <w:p/>
    <w:p>
      <w:r>
        <w:t>La remisión debe poder generarse desde una cotización o desde el propio módulo de remisiones. En ambos casos conservará la relación con la cotización original, permitirá seleccionar únicamente las partidas que se entregarán y mantendrá visibles las cantidades remitidas y pendientes.</w:t>
      </w:r>
    </w:p>
    <w:p>
      <w:pPr>
        <w:pStyle w:val="Heading1"/>
      </w:pPr>
      <w:r>
        <w:t>5. Matriz de entendimiento y cobertura preliminar</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792"/>
            <w:shd w:fill="102A43"/>
            <w:tcMar>
              <w:top w:w="85" w:type="dxa"/>
              <w:start w:w="80" w:type="dxa"/>
              <w:bottom w:w="85" w:type="dxa"/>
              <w:end w:w="80" w:type="dxa"/>
            </w:tcMar>
            <w:vAlign w:val="center"/>
          </w:tcPr>
          <w:p>
            <w:r>
              <w:rPr>
                <w:b/>
                <w:color w:val="FFFFFF"/>
                <w:sz w:val="14"/>
              </w:rPr>
              <w:t>ID</w:t>
            </w:r>
          </w:p>
        </w:tc>
        <w:tc>
          <w:tcPr>
            <w:tcW w:type="dxa" w:w="5472"/>
            <w:shd w:fill="102A43"/>
            <w:tcMar>
              <w:top w:w="85" w:type="dxa"/>
              <w:start w:w="80" w:type="dxa"/>
              <w:bottom w:w="85" w:type="dxa"/>
              <w:end w:w="80" w:type="dxa"/>
            </w:tcMar>
            <w:vAlign w:val="center"/>
          </w:tcPr>
          <w:p>
            <w:r>
              <w:rPr>
                <w:b/>
                <w:color w:val="FFFFFF"/>
                <w:sz w:val="14"/>
              </w:rPr>
              <w:t>Solicitud entendida</w:t>
            </w:r>
          </w:p>
        </w:tc>
        <w:tc>
          <w:tcPr>
            <w:tcW w:type="dxa" w:w="3168"/>
            <w:shd w:fill="102A43"/>
            <w:tcMar>
              <w:top w:w="85" w:type="dxa"/>
              <w:start w:w="80" w:type="dxa"/>
              <w:bottom w:w="85" w:type="dxa"/>
              <w:end w:w="80" w:type="dxa"/>
            </w:tcMar>
            <w:vAlign w:val="center"/>
          </w:tcPr>
          <w:p>
            <w:r>
              <w:rPr>
                <w:b/>
                <w:color w:val="FFFFFF"/>
                <w:sz w:val="14"/>
              </w:rPr>
              <w:t>Lectura actual</w:t>
            </w:r>
          </w:p>
        </w:tc>
      </w:tr>
      <w:tr>
        <w:trPr>
          <w:cantSplit/>
        </w:trPr>
        <w:tc>
          <w:tcPr>
            <w:tcW w:type="dxa" w:w="792"/>
            <w:tcMar>
              <w:top w:w="70" w:type="dxa"/>
              <w:start w:w="70" w:type="dxa"/>
              <w:bottom w:w="70" w:type="dxa"/>
              <w:end w:w="70" w:type="dxa"/>
            </w:tcMar>
            <w:vAlign w:val="top"/>
          </w:tcPr>
          <w:p>
            <w:pPr>
              <w:pStyle w:val="TableCompact"/>
            </w:pPr>
            <w:r>
              <w:rPr>
                <w:sz w:val="14"/>
              </w:rPr>
              <w:t>REQ-01</w:t>
            </w:r>
          </w:p>
        </w:tc>
        <w:tc>
          <w:tcPr>
            <w:tcW w:type="dxa" w:w="5472"/>
            <w:tcMar>
              <w:top w:w="70" w:type="dxa"/>
              <w:start w:w="70" w:type="dxa"/>
              <w:bottom w:w="70" w:type="dxa"/>
              <w:end w:w="70" w:type="dxa"/>
            </w:tcMar>
            <w:vAlign w:val="top"/>
          </w:tcPr>
          <w:p>
            <w:pPr>
              <w:pStyle w:val="TableCompact"/>
            </w:pPr>
            <w:r>
              <w:rPr>
                <w:sz w:val="14"/>
              </w:rPr>
              <w:t>Seleccionar partidas de una cotización y habilitar “Generar remisión”.</w:t>
            </w:r>
          </w:p>
        </w:tc>
        <w:tc>
          <w:tcPr>
            <w:tcW w:type="dxa" w:w="3168"/>
            <w:tcMar>
              <w:top w:w="70" w:type="dxa"/>
              <w:start w:w="70" w:type="dxa"/>
              <w:bottom w:w="70" w:type="dxa"/>
              <w:end w:w="70" w:type="dxa"/>
            </w:tcMar>
            <w:vAlign w:val="top"/>
          </w:tcPr>
          <w:p>
            <w:pPr>
              <w:pStyle w:val="TableCompact"/>
            </w:pPr>
            <w:r>
              <w:rPr>
                <w:sz w:val="14"/>
              </w:rPr>
              <w:t>Reportado en remisiones v2; validar UX y reglas.</w:t>
            </w:r>
          </w:p>
        </w:tc>
      </w:tr>
      <w:tr>
        <w:trPr>
          <w:cantSplit/>
        </w:trPr>
        <w:tc>
          <w:tcPr>
            <w:tcW w:type="dxa" w:w="792"/>
            <w:tcMar>
              <w:top w:w="70" w:type="dxa"/>
              <w:start w:w="70" w:type="dxa"/>
              <w:bottom w:w="70" w:type="dxa"/>
              <w:end w:w="70" w:type="dxa"/>
            </w:tcMar>
            <w:vAlign w:val="top"/>
            <w:shd w:fill="F8FAFC"/>
          </w:tcPr>
          <w:p>
            <w:pPr>
              <w:pStyle w:val="TableCompact"/>
            </w:pPr>
            <w:r>
              <w:rPr>
                <w:sz w:val="14"/>
              </w:rPr>
              <w:t>REQ-02</w:t>
            </w:r>
          </w:p>
        </w:tc>
        <w:tc>
          <w:tcPr>
            <w:tcW w:type="dxa" w:w="5472"/>
            <w:tcMar>
              <w:top w:w="70" w:type="dxa"/>
              <w:start w:w="70" w:type="dxa"/>
              <w:bottom w:w="70" w:type="dxa"/>
              <w:end w:w="70" w:type="dxa"/>
            </w:tcMar>
            <w:vAlign w:val="top"/>
            <w:shd w:fill="F8FAFC"/>
          </w:tcPr>
          <w:p>
            <w:pPr>
              <w:pStyle w:val="TableCompact"/>
            </w:pPr>
            <w:r>
              <w:rPr>
                <w:sz w:val="14"/>
              </w:rPr>
              <w:t>Copiar cliente, moneda, atención, producto, cantidad, catálogo, partida y unidad.</w:t>
            </w:r>
          </w:p>
        </w:tc>
        <w:tc>
          <w:tcPr>
            <w:tcW w:type="dxa" w:w="3168"/>
            <w:tcMar>
              <w:top w:w="70" w:type="dxa"/>
              <w:start w:w="70" w:type="dxa"/>
              <w:bottom w:w="70" w:type="dxa"/>
              <w:end w:w="70" w:type="dxa"/>
            </w:tcMar>
            <w:vAlign w:val="top"/>
            <w:shd w:fill="F8FAFC"/>
          </w:tcPr>
          <w:p>
            <w:pPr>
              <w:pStyle w:val="TableCompact"/>
            </w:pPr>
            <w:r>
              <w:rPr>
                <w:sz w:val="14"/>
              </w:rPr>
              <w:t>Parcial / prueba campo por campo.</w:t>
            </w:r>
          </w:p>
        </w:tc>
      </w:tr>
      <w:tr>
        <w:trPr>
          <w:cantSplit/>
        </w:trPr>
        <w:tc>
          <w:tcPr>
            <w:tcW w:type="dxa" w:w="792"/>
            <w:tcMar>
              <w:top w:w="70" w:type="dxa"/>
              <w:start w:w="70" w:type="dxa"/>
              <w:bottom w:w="70" w:type="dxa"/>
              <w:end w:w="70" w:type="dxa"/>
            </w:tcMar>
            <w:vAlign w:val="top"/>
          </w:tcPr>
          <w:p>
            <w:pPr>
              <w:pStyle w:val="TableCompact"/>
            </w:pPr>
            <w:r>
              <w:rPr>
                <w:sz w:val="14"/>
              </w:rPr>
              <w:t>REQ-03</w:t>
            </w:r>
          </w:p>
        </w:tc>
        <w:tc>
          <w:tcPr>
            <w:tcW w:type="dxa" w:w="5472"/>
            <w:tcMar>
              <w:top w:w="70" w:type="dxa"/>
              <w:start w:w="70" w:type="dxa"/>
              <w:bottom w:w="70" w:type="dxa"/>
              <w:end w:w="70" w:type="dxa"/>
            </w:tcMar>
            <w:vAlign w:val="top"/>
          </w:tcPr>
          <w:p>
            <w:pPr>
              <w:pStyle w:val="TableCompact"/>
            </w:pPr>
            <w:r>
              <w:rPr>
                <w:sz w:val="14"/>
              </w:rPr>
              <w:t>Generar un folio independiente con estructura de remisión.</w:t>
            </w:r>
          </w:p>
        </w:tc>
        <w:tc>
          <w:tcPr>
            <w:tcW w:type="dxa" w:w="3168"/>
            <w:tcMar>
              <w:top w:w="70" w:type="dxa"/>
              <w:start w:w="70" w:type="dxa"/>
              <w:bottom w:w="70" w:type="dxa"/>
              <w:end w:w="70" w:type="dxa"/>
            </w:tcMar>
            <w:vAlign w:val="top"/>
          </w:tcPr>
          <w:p>
            <w:pPr>
              <w:pStyle w:val="TableCompact"/>
            </w:pPr>
            <w:r>
              <w:rPr>
                <w:sz w:val="14"/>
              </w:rPr>
              <w:t>Validar consecutivo, concurrencia y formato.</w:t>
            </w:r>
          </w:p>
        </w:tc>
      </w:tr>
      <w:tr>
        <w:trPr>
          <w:cantSplit/>
        </w:trPr>
        <w:tc>
          <w:tcPr>
            <w:tcW w:type="dxa" w:w="792"/>
            <w:tcMar>
              <w:top w:w="70" w:type="dxa"/>
              <w:start w:w="70" w:type="dxa"/>
              <w:bottom w:w="70" w:type="dxa"/>
              <w:end w:w="70" w:type="dxa"/>
            </w:tcMar>
            <w:vAlign w:val="top"/>
            <w:shd w:fill="F8FAFC"/>
          </w:tcPr>
          <w:p>
            <w:pPr>
              <w:pStyle w:val="TableCompact"/>
            </w:pPr>
            <w:r>
              <w:rPr>
                <w:sz w:val="14"/>
              </w:rPr>
              <w:t>REQ-04</w:t>
            </w:r>
          </w:p>
        </w:tc>
        <w:tc>
          <w:tcPr>
            <w:tcW w:type="dxa" w:w="5472"/>
            <w:tcMar>
              <w:top w:w="70" w:type="dxa"/>
              <w:start w:w="70" w:type="dxa"/>
              <w:bottom w:w="70" w:type="dxa"/>
              <w:end w:w="70" w:type="dxa"/>
            </w:tcMar>
            <w:vAlign w:val="top"/>
            <w:shd w:fill="F8FAFC"/>
          </w:tcPr>
          <w:p>
            <w:pPr>
              <w:pStyle w:val="TableCompact"/>
            </w:pPr>
            <w:r>
              <w:rPr>
                <w:sz w:val="14"/>
              </w:rPr>
              <w:t>Editar datos de la remisión sin borrar ni modificar la cotización.</w:t>
            </w:r>
          </w:p>
        </w:tc>
        <w:tc>
          <w:tcPr>
            <w:tcW w:type="dxa" w:w="3168"/>
            <w:tcMar>
              <w:top w:w="70" w:type="dxa"/>
              <w:start w:w="70" w:type="dxa"/>
              <w:bottom w:w="70" w:type="dxa"/>
              <w:end w:w="70" w:type="dxa"/>
            </w:tcMar>
            <w:vAlign w:val="top"/>
            <w:shd w:fill="F8FAFC"/>
          </w:tcPr>
          <w:p>
            <w:pPr>
              <w:pStyle w:val="TableCompact"/>
            </w:pPr>
            <w:r>
              <w:rPr>
                <w:sz w:val="14"/>
              </w:rPr>
              <w:t>Reportado; delimitar campos editables.</w:t>
            </w:r>
          </w:p>
        </w:tc>
      </w:tr>
      <w:tr>
        <w:trPr>
          <w:cantSplit/>
        </w:trPr>
        <w:tc>
          <w:tcPr>
            <w:tcW w:type="dxa" w:w="792"/>
            <w:tcMar>
              <w:top w:w="70" w:type="dxa"/>
              <w:start w:w="70" w:type="dxa"/>
              <w:bottom w:w="70" w:type="dxa"/>
              <w:end w:w="70" w:type="dxa"/>
            </w:tcMar>
            <w:vAlign w:val="top"/>
          </w:tcPr>
          <w:p>
            <w:pPr>
              <w:pStyle w:val="TableCompact"/>
            </w:pPr>
            <w:r>
              <w:rPr>
                <w:sz w:val="14"/>
              </w:rPr>
              <w:t>REQ-05</w:t>
            </w:r>
          </w:p>
        </w:tc>
        <w:tc>
          <w:tcPr>
            <w:tcW w:type="dxa" w:w="5472"/>
            <w:tcMar>
              <w:top w:w="70" w:type="dxa"/>
              <w:start w:w="70" w:type="dxa"/>
              <w:bottom w:w="70" w:type="dxa"/>
              <w:end w:w="70" w:type="dxa"/>
            </w:tcMar>
            <w:vAlign w:val="top"/>
          </w:tcPr>
          <w:p>
            <w:pPr>
              <w:pStyle w:val="TableCompact"/>
            </w:pPr>
            <w:r>
              <w:rPr>
                <w:sz w:val="14"/>
              </w:rPr>
              <w:t>Crear remisión desde su módulo buscando una cotización.</w:t>
            </w:r>
          </w:p>
        </w:tc>
        <w:tc>
          <w:tcPr>
            <w:tcW w:type="dxa" w:w="3168"/>
            <w:tcMar>
              <w:top w:w="70" w:type="dxa"/>
              <w:start w:w="70" w:type="dxa"/>
              <w:bottom w:w="70" w:type="dxa"/>
              <w:end w:w="70" w:type="dxa"/>
            </w:tcMar>
            <w:vAlign w:val="top"/>
          </w:tcPr>
          <w:p>
            <w:pPr>
              <w:pStyle w:val="TableCompact"/>
            </w:pPr>
            <w:r>
              <w:rPr>
                <w:sz w:val="14"/>
              </w:rPr>
              <w:t>Reportado como conversión; validar buscador y selección.</w:t>
            </w:r>
          </w:p>
        </w:tc>
      </w:tr>
      <w:tr>
        <w:trPr>
          <w:cantSplit/>
        </w:trPr>
        <w:tc>
          <w:tcPr>
            <w:tcW w:type="dxa" w:w="792"/>
            <w:tcMar>
              <w:top w:w="70" w:type="dxa"/>
              <w:start w:w="70" w:type="dxa"/>
              <w:bottom w:w="70" w:type="dxa"/>
              <w:end w:w="70" w:type="dxa"/>
            </w:tcMar>
            <w:vAlign w:val="top"/>
            <w:shd w:fill="F8FAFC"/>
          </w:tcPr>
          <w:p>
            <w:pPr>
              <w:pStyle w:val="TableCompact"/>
            </w:pPr>
            <w:r>
              <w:rPr>
                <w:sz w:val="14"/>
              </w:rPr>
              <w:t>REQ-06</w:t>
            </w:r>
          </w:p>
        </w:tc>
        <w:tc>
          <w:tcPr>
            <w:tcW w:type="dxa" w:w="5472"/>
            <w:tcMar>
              <w:top w:w="70" w:type="dxa"/>
              <w:start w:w="70" w:type="dxa"/>
              <w:bottom w:w="70" w:type="dxa"/>
              <w:end w:w="70" w:type="dxa"/>
            </w:tcMar>
            <w:vAlign w:val="top"/>
            <w:shd w:fill="F8FAFC"/>
          </w:tcPr>
          <w:p>
            <w:pPr>
              <w:pStyle w:val="TableCompact"/>
            </w:pPr>
            <w:r>
              <w:rPr>
                <w:sz w:val="14"/>
              </w:rPr>
              <w:t>Manejar entregas parciales y productos pendientes.</w:t>
            </w:r>
          </w:p>
        </w:tc>
        <w:tc>
          <w:tcPr>
            <w:tcW w:type="dxa" w:w="3168"/>
            <w:tcMar>
              <w:top w:w="70" w:type="dxa"/>
              <w:start w:w="70" w:type="dxa"/>
              <w:bottom w:w="70" w:type="dxa"/>
              <w:end w:w="70" w:type="dxa"/>
            </w:tcMar>
            <w:vAlign w:val="top"/>
            <w:shd w:fill="F8FAFC"/>
          </w:tcPr>
          <w:p>
            <w:pPr>
              <w:pStyle w:val="TableCompact"/>
            </w:pPr>
            <w:r>
              <w:rPr>
                <w:sz w:val="14"/>
              </w:rPr>
              <w:t>Reportado; requiere UAT y prueba de concurrencia.</w:t>
            </w:r>
          </w:p>
        </w:tc>
      </w:tr>
      <w:tr>
        <w:trPr>
          <w:cantSplit/>
        </w:trPr>
        <w:tc>
          <w:tcPr>
            <w:tcW w:type="dxa" w:w="792"/>
            <w:tcMar>
              <w:top w:w="70" w:type="dxa"/>
              <w:start w:w="70" w:type="dxa"/>
              <w:bottom w:w="70" w:type="dxa"/>
              <w:end w:w="70" w:type="dxa"/>
            </w:tcMar>
            <w:vAlign w:val="top"/>
          </w:tcPr>
          <w:p>
            <w:pPr>
              <w:pStyle w:val="TableCompact"/>
            </w:pPr>
            <w:r>
              <w:rPr>
                <w:sz w:val="14"/>
              </w:rPr>
              <w:t>REQ-07</w:t>
            </w:r>
          </w:p>
        </w:tc>
        <w:tc>
          <w:tcPr>
            <w:tcW w:type="dxa" w:w="5472"/>
            <w:tcMar>
              <w:top w:w="70" w:type="dxa"/>
              <w:start w:w="70" w:type="dxa"/>
              <w:bottom w:w="70" w:type="dxa"/>
              <w:end w:w="70" w:type="dxa"/>
            </w:tcMar>
            <w:vAlign w:val="top"/>
          </w:tcPr>
          <w:p>
            <w:pPr>
              <w:pStyle w:val="TableCompact"/>
            </w:pPr>
            <w:r>
              <w:rPr>
                <w:sz w:val="14"/>
              </w:rPr>
              <w:t>Vista/PDF con título REMISIÓN, unidad y sin subtotal cuando aplique.</w:t>
            </w:r>
          </w:p>
        </w:tc>
        <w:tc>
          <w:tcPr>
            <w:tcW w:type="dxa" w:w="3168"/>
            <w:tcMar>
              <w:top w:w="70" w:type="dxa"/>
              <w:start w:w="70" w:type="dxa"/>
              <w:bottom w:w="70" w:type="dxa"/>
              <w:end w:w="70" w:type="dxa"/>
            </w:tcMar>
            <w:vAlign w:val="top"/>
          </w:tcPr>
          <w:p>
            <w:pPr>
              <w:pStyle w:val="TableCompact"/>
            </w:pPr>
            <w:r>
              <w:rPr>
                <w:sz w:val="14"/>
              </w:rPr>
              <w:t>Revisión visual y ajuste de plantilla.</w:t>
            </w:r>
          </w:p>
        </w:tc>
      </w:tr>
      <w:tr>
        <w:trPr>
          <w:cantSplit/>
        </w:trPr>
        <w:tc>
          <w:tcPr>
            <w:tcW w:type="dxa" w:w="792"/>
            <w:tcMar>
              <w:top w:w="70" w:type="dxa"/>
              <w:start w:w="70" w:type="dxa"/>
              <w:bottom w:w="70" w:type="dxa"/>
              <w:end w:w="70" w:type="dxa"/>
            </w:tcMar>
            <w:vAlign w:val="top"/>
            <w:shd w:fill="F8FAFC"/>
          </w:tcPr>
          <w:p>
            <w:pPr>
              <w:pStyle w:val="TableCompact"/>
            </w:pPr>
            <w:r>
              <w:rPr>
                <w:sz w:val="14"/>
              </w:rPr>
              <w:t>REQ-08</w:t>
            </w:r>
          </w:p>
        </w:tc>
        <w:tc>
          <w:tcPr>
            <w:tcW w:type="dxa" w:w="5472"/>
            <w:tcMar>
              <w:top w:w="70" w:type="dxa"/>
              <w:start w:w="70" w:type="dxa"/>
              <w:bottom w:w="70" w:type="dxa"/>
              <w:end w:w="70" w:type="dxa"/>
            </w:tcMar>
            <w:vAlign w:val="top"/>
            <w:shd w:fill="F8FAFC"/>
          </w:tcPr>
          <w:p>
            <w:pPr>
              <w:pStyle w:val="TableCompact"/>
            </w:pPr>
            <w:r>
              <w:rPr>
                <w:sz w:val="14"/>
              </w:rPr>
              <w:t>Agregar autorizado, firma y documentos relacionados.</w:t>
            </w:r>
          </w:p>
        </w:tc>
        <w:tc>
          <w:tcPr>
            <w:tcW w:type="dxa" w:w="3168"/>
            <w:tcMar>
              <w:top w:w="70" w:type="dxa"/>
              <w:start w:w="70" w:type="dxa"/>
              <w:bottom w:w="70" w:type="dxa"/>
              <w:end w:w="70" w:type="dxa"/>
            </w:tcMar>
            <w:vAlign w:val="top"/>
            <w:shd w:fill="F8FAFC"/>
          </w:tcPr>
          <w:p>
            <w:pPr>
              <w:pStyle w:val="TableCompact"/>
            </w:pPr>
            <w:r>
              <w:rPr>
                <w:sz w:val="14"/>
              </w:rPr>
              <w:t>No confirmado; validar/desarrollar.</w:t>
            </w:r>
          </w:p>
        </w:tc>
      </w:tr>
      <w:tr>
        <w:trPr>
          <w:cantSplit/>
        </w:trPr>
        <w:tc>
          <w:tcPr>
            <w:tcW w:type="dxa" w:w="792"/>
            <w:tcMar>
              <w:top w:w="70" w:type="dxa"/>
              <w:start w:w="70" w:type="dxa"/>
              <w:bottom w:w="70" w:type="dxa"/>
              <w:end w:w="70" w:type="dxa"/>
            </w:tcMar>
            <w:vAlign w:val="top"/>
          </w:tcPr>
          <w:p>
            <w:pPr>
              <w:pStyle w:val="TableCompact"/>
            </w:pPr>
            <w:r>
              <w:rPr>
                <w:sz w:val="14"/>
              </w:rPr>
              <w:t>REQ-09</w:t>
            </w:r>
          </w:p>
        </w:tc>
        <w:tc>
          <w:tcPr>
            <w:tcW w:type="dxa" w:w="5472"/>
            <w:tcMar>
              <w:top w:w="70" w:type="dxa"/>
              <w:start w:w="70" w:type="dxa"/>
              <w:bottom w:w="70" w:type="dxa"/>
              <w:end w:w="70" w:type="dxa"/>
            </w:tcMar>
            <w:vAlign w:val="top"/>
          </w:tcPr>
          <w:p>
            <w:pPr>
              <w:pStyle w:val="TableCompact"/>
            </w:pPr>
            <w:r>
              <w:rPr>
                <w:sz w:val="14"/>
              </w:rPr>
              <w:t>Indicar si está facturado y capturar factura de ingreso.</w:t>
            </w:r>
          </w:p>
        </w:tc>
        <w:tc>
          <w:tcPr>
            <w:tcW w:type="dxa" w:w="3168"/>
            <w:tcMar>
              <w:top w:w="70" w:type="dxa"/>
              <w:start w:w="70" w:type="dxa"/>
              <w:bottom w:w="70" w:type="dxa"/>
              <w:end w:w="70" w:type="dxa"/>
            </w:tcMar>
            <w:vAlign w:val="top"/>
          </w:tcPr>
          <w:p>
            <w:pPr>
              <w:pStyle w:val="TableCompact"/>
            </w:pPr>
            <w:r>
              <w:rPr>
                <w:sz w:val="14"/>
              </w:rPr>
              <w:t>Pendiente; referencia y estado, sin timbrado.</w:t>
            </w:r>
          </w:p>
        </w:tc>
      </w:tr>
      <w:tr>
        <w:trPr>
          <w:cantSplit/>
        </w:trPr>
        <w:tc>
          <w:tcPr>
            <w:tcW w:type="dxa" w:w="792"/>
            <w:tcMar>
              <w:top w:w="70" w:type="dxa"/>
              <w:start w:w="70" w:type="dxa"/>
              <w:bottom w:w="70" w:type="dxa"/>
              <w:end w:w="70" w:type="dxa"/>
            </w:tcMar>
            <w:vAlign w:val="top"/>
            <w:shd w:fill="F8FAFC"/>
          </w:tcPr>
          <w:p>
            <w:pPr>
              <w:pStyle w:val="TableCompact"/>
            </w:pPr>
            <w:r>
              <w:rPr>
                <w:sz w:val="14"/>
              </w:rPr>
              <w:t>REQ-10</w:t>
            </w:r>
          </w:p>
        </w:tc>
        <w:tc>
          <w:tcPr>
            <w:tcW w:type="dxa" w:w="5472"/>
            <w:tcMar>
              <w:top w:w="70" w:type="dxa"/>
              <w:start w:w="70" w:type="dxa"/>
              <w:bottom w:w="70" w:type="dxa"/>
              <w:end w:w="70" w:type="dxa"/>
            </w:tcMar>
            <w:vAlign w:val="top"/>
            <w:shd w:fill="F8FAFC"/>
          </w:tcPr>
          <w:p>
            <w:pPr>
              <w:pStyle w:val="TableCompact"/>
            </w:pPr>
            <w:r>
              <w:rPr>
                <w:sz w:val="14"/>
              </w:rPr>
              <w:t>Indicar si está pagado y capturar complemento de pago.</w:t>
            </w:r>
          </w:p>
        </w:tc>
        <w:tc>
          <w:tcPr>
            <w:tcW w:type="dxa" w:w="3168"/>
            <w:tcMar>
              <w:top w:w="70" w:type="dxa"/>
              <w:start w:w="70" w:type="dxa"/>
              <w:bottom w:w="70" w:type="dxa"/>
              <w:end w:w="70" w:type="dxa"/>
            </w:tcMar>
            <w:vAlign w:val="top"/>
            <w:shd w:fill="F8FAFC"/>
          </w:tcPr>
          <w:p>
            <w:pPr>
              <w:pStyle w:val="TableCompact"/>
            </w:pPr>
            <w:r>
              <w:rPr>
                <w:sz w:val="14"/>
              </w:rPr>
              <w:t>Pendiente; sincronizar con CxC.</w:t>
            </w:r>
          </w:p>
        </w:tc>
      </w:tr>
    </w:tbl>
    <w:p>
      <w:pPr>
        <w:spacing w:after="0"/>
      </w:pPr>
    </w:p>
    <w:p>
      <w:pPr>
        <w:pStyle w:val="Heading1"/>
      </w:pPr>
      <w:r>
        <w:t>6. Supuestos y principios técnicos de ejecución</w:t>
      </w:r>
    </w:p>
    <w:p>
      <w:pPr>
        <w:pStyle w:val="ListBullet"/>
        <w:spacing w:after="40"/>
      </w:pPr>
      <w:r>
        <w:t>Las funcionalidades reportadas como construidas no se consideran terminadas hasta pasar validación funcional, pruebas automatizadas y UAT.</w:t>
      </w:r>
    </w:p>
    <w:p>
      <w:pPr>
        <w:pStyle w:val="ListBullet"/>
        <w:spacing w:after="40"/>
      </w:pPr>
      <w:r>
        <w:t>Toda modificación preservará multi-tenancy, permisos, auditoría, compatibilidad con datos existentes y capacidad de rollback.</w:t>
      </w:r>
    </w:p>
    <w:p>
      <w:pPr>
        <w:pStyle w:val="ListBullet"/>
        <w:spacing w:after="40"/>
      </w:pPr>
      <w:r>
        <w:t>La emisión de CFDI y complementos de pago queda fuera del alcance actual; se modelarán estados, referencias y vínculos internos.</w:t>
      </w:r>
    </w:p>
    <w:p>
      <w:pPr>
        <w:pStyle w:val="ListBullet"/>
        <w:spacing w:after="40"/>
      </w:pPr>
      <w:r>
        <w:t>No se reescribirá el cotizador ni el módulo de remisiones si una extensión localizada resuelve el requerimiento con menor riesgo.</w:t>
      </w:r>
    </w:p>
    <w:p>
      <w:pPr>
        <w:pStyle w:val="ListBullet"/>
        <w:spacing w:after="40"/>
      </w:pPr>
      <w:r>
        <w:t>Las reglas no especificadas se documentarán como decisión pendiente; no se codificarán supuestos implícitos.</w:t>
      </w:r>
    </w:p>
    <w:p>
      <w:pPr>
        <w:pStyle w:val="ListBullet"/>
        <w:spacing w:after="40"/>
      </w:pPr>
      <w:r>
        <w:t>Las invariantes de cantidades, folios y estados se implementarán en el dominio/backend, no únicamente en la interfaz.</w:t>
      </w:r>
    </w:p>
    <w:p>
      <w:pPr>
        <w:pStyle w:val="ListBullet"/>
        <w:spacing w:after="40"/>
      </w:pPr>
      <w:r>
        <w:t>La ejecución se realizará mediante microciclos agénticos de alcance reducido, con evidencia funcional, pruebas y criterios de aceptación explícitos.</w:t>
      </w:r>
    </w:p>
    <w:p>
      <w:pPr>
        <w:pStyle w:val="Heading1"/>
      </w:pPr>
      <w:r>
        <w:t>7. Reglas de negocio propuestas para validación</w:t>
      </w:r>
    </w:p>
    <w:p>
      <w:pPr>
        <w:pStyle w:val="ListBullet"/>
        <w:spacing w:after="40"/>
      </w:pPr>
      <w:r>
        <w:t>La cotización de origen no se modifica al eliminar una partida de la remisión.</w:t>
      </w:r>
    </w:p>
    <w:p>
      <w:pPr>
        <w:pStyle w:val="ListBullet"/>
        <w:spacing w:after="40"/>
      </w:pPr>
      <w:r>
        <w:t>La cantidad a remitir no puede superar la cantidad pendiente, salvo permiso especial y evento auditado.</w:t>
      </w:r>
    </w:p>
    <w:p>
      <w:pPr>
        <w:pStyle w:val="ListBullet"/>
        <w:spacing w:after="40"/>
      </w:pPr>
      <w:r>
        <w:t>Cada remisión conserva relación con su cotización y con las remisiones previas de la misma operación.</w:t>
      </w:r>
    </w:p>
    <w:p>
      <w:pPr>
        <w:pStyle w:val="ListBullet"/>
        <w:spacing w:after="40"/>
      </w:pPr>
      <w:r>
        <w:t>El folio de remisión es independiente, único por tenant y generado del lado del servidor.</w:t>
      </w:r>
    </w:p>
    <w:p>
      <w:pPr>
        <w:pStyle w:val="ListBullet"/>
        <w:spacing w:after="40"/>
      </w:pPr>
      <w:r>
        <w:t>Los estados de entrega, facturación y pago son distintos y no deben mezclarse en una sola etiqueta.</w:t>
      </w:r>
    </w:p>
    <w:p>
      <w:pPr>
        <w:pStyle w:val="ListBullet"/>
        <w:spacing w:after="40"/>
      </w:pPr>
      <w:r>
        <w:t>Una factura de ingreso y un complemento de pago son referencias documentales diferentes.</w:t>
      </w:r>
    </w:p>
    <w:p>
      <w:pPr>
        <w:pStyle w:val="ListBullet"/>
        <w:spacing w:after="40"/>
      </w:pPr>
      <w:r>
        <w:t>Los cambios comerciales sensibles —precio, descuento, costo, margen, impuestos o moneda— requieren autorización, bitácora y reglas por estado.</w:t>
      </w:r>
    </w:p>
    <w:p>
      <w:pPr>
        <w:pStyle w:val="ListBullet"/>
        <w:spacing w:after="40"/>
      </w:pPr>
      <w:r>
        <w:t>Las cantidades pendientes se recalculan de forma transaccional al emitir, cancelar o revertir una remisión.</w:t>
      </w:r>
    </w:p>
    <w:tbl>
      <w:tblPr>
        <w:tblW w:type="auto" w:w="0"/>
        <w:jc w:val="center"/>
        <w:tblLayout w:type="fixed"/>
        <w:tblLook w:firstColumn="1" w:firstRow="1" w:lastColumn="0" w:lastRow="0" w:noHBand="0" w:noVBand="1" w:val="04A0"/>
      </w:tblPr>
      <w:tblGrid>
        <w:gridCol w:w="10310"/>
      </w:tblGrid>
      <w:tr>
        <w:tc>
          <w:tcPr>
            <w:tcW w:type="dxa" w:w="9432"/>
            <w:shd w:fill="FEF3C7"/>
            <w:tcMar>
              <w:top w:w="115" w:type="dxa"/>
              <w:start w:w="150" w:type="dxa"/>
              <w:bottom w:w="115" w:type="dxa"/>
              <w:end w:w="130" w:type="dxa"/>
            </w:tcMar>
            <w:tcBorders>
              <w:top w:val="nil"/>
              <w:left w:val="single" w:sz="28" w:space="0" w:color="D97706"/>
              <w:bottom w:val="nil"/>
              <w:right w:val="nil"/>
            </w:tcBorders>
          </w:tcPr>
          <w:p>
            <w:pPr>
              <w:pStyle w:val="TableCompact"/>
            </w:pPr>
            <w:r>
              <w:rPr>
                <w:b/>
                <w:color w:val="D97706"/>
              </w:rPr>
              <w:t>Decisión de dominio relevante</w:t>
              <w:br/>
            </w:r>
            <w:r>
              <w:rPr>
                <w:sz w:val="18"/>
              </w:rPr>
              <w:t>DASIC solicita editar utilidad, precio y tiempos dentro de la remisión. Atlas propone diferenciar campos logísticos editables de campos comerciales controlados, porque alterar la condición comercial después de aprobar la cotización puede romper margen, cobranza, auditoría e integración futura con facturación.</w:t>
            </w:r>
          </w:p>
        </w:tc>
      </w:tr>
    </w:tbl>
    <w:p>
      <w:pPr>
        <w:spacing w:after="0"/>
      </w:pPr>
    </w:p>
    <w:p>
      <w:pPr>
        <w:pStyle w:val="Heading1"/>
      </w:pPr>
      <w:r>
        <w:t>8. Definition of Ready y Definition of Done</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4680"/>
            <w:shd w:fill="102A43"/>
            <w:tcMar>
              <w:top w:w="85" w:type="dxa"/>
              <w:start w:w="80" w:type="dxa"/>
              <w:bottom w:w="85" w:type="dxa"/>
              <w:end w:w="80" w:type="dxa"/>
            </w:tcMar>
            <w:vAlign w:val="center"/>
          </w:tcPr>
          <w:p>
            <w:r>
              <w:rPr>
                <w:b/>
                <w:color w:val="FFFFFF"/>
                <w:sz w:val="15"/>
              </w:rPr>
              <w:t>Definition of Ready</w:t>
            </w:r>
          </w:p>
        </w:tc>
        <w:tc>
          <w:tcPr>
            <w:tcW w:type="dxa" w:w="4752"/>
            <w:shd w:fill="102A43"/>
            <w:tcMar>
              <w:top w:w="85" w:type="dxa"/>
              <w:start w:w="80" w:type="dxa"/>
              <w:bottom w:w="85" w:type="dxa"/>
              <w:end w:w="80" w:type="dxa"/>
            </w:tcMar>
            <w:vAlign w:val="center"/>
          </w:tcPr>
          <w:p>
            <w:r>
              <w:rPr>
                <w:b/>
                <w:color w:val="FFFFFF"/>
                <w:sz w:val="15"/>
              </w:rPr>
              <w:t>Definition of Done</w:t>
            </w:r>
          </w:p>
        </w:tc>
      </w:tr>
      <w:tr>
        <w:trPr>
          <w:cantSplit/>
        </w:trPr>
        <w:tc>
          <w:tcPr>
            <w:tcW w:type="dxa" w:w="4680"/>
            <w:tcMar>
              <w:top w:w="70" w:type="dxa"/>
              <w:start w:w="70" w:type="dxa"/>
              <w:bottom w:w="70" w:type="dxa"/>
              <w:end w:w="70" w:type="dxa"/>
            </w:tcMar>
            <w:vAlign w:val="top"/>
          </w:tcPr>
          <w:p>
            <w:pPr>
              <w:pStyle w:val="TableCompact"/>
            </w:pPr>
            <w:r>
              <w:rPr>
                <w:sz w:val="15"/>
              </w:rPr>
              <w:t>Historia vinculada con una solicitud o hallazgo productivo.</w:t>
            </w:r>
          </w:p>
        </w:tc>
        <w:tc>
          <w:tcPr>
            <w:tcW w:type="dxa" w:w="4752"/>
            <w:tcMar>
              <w:top w:w="70" w:type="dxa"/>
              <w:start w:w="70" w:type="dxa"/>
              <w:bottom w:w="70" w:type="dxa"/>
              <w:end w:w="70" w:type="dxa"/>
            </w:tcMar>
            <w:vAlign w:val="top"/>
          </w:tcPr>
          <w:p>
            <w:pPr>
              <w:pStyle w:val="TableCompact"/>
            </w:pPr>
            <w:r>
              <w:rPr>
                <w:sz w:val="15"/>
              </w:rPr>
              <w:t>Criterios de aceptación demostrados en staging.</w:t>
            </w:r>
          </w:p>
        </w:tc>
      </w:tr>
      <w:tr>
        <w:trPr>
          <w:cantSplit/>
        </w:trPr>
        <w:tc>
          <w:tcPr>
            <w:tcW w:type="dxa" w:w="4680"/>
            <w:tcMar>
              <w:top w:w="70" w:type="dxa"/>
              <w:start w:w="70" w:type="dxa"/>
              <w:bottom w:w="70" w:type="dxa"/>
              <w:end w:w="70" w:type="dxa"/>
            </w:tcMar>
            <w:vAlign w:val="top"/>
            <w:shd w:fill="F8FAFC"/>
          </w:tcPr>
          <w:p>
            <w:pPr>
              <w:pStyle w:val="TableCompact"/>
            </w:pPr>
            <w:r>
              <w:rPr>
                <w:sz w:val="15"/>
              </w:rPr>
              <w:t>Regla de negocio confirmada por Product Owner.</w:t>
            </w:r>
          </w:p>
        </w:tc>
        <w:tc>
          <w:tcPr>
            <w:tcW w:type="dxa" w:w="4752"/>
            <w:tcMar>
              <w:top w:w="70" w:type="dxa"/>
              <w:start w:w="70" w:type="dxa"/>
              <w:bottom w:w="70" w:type="dxa"/>
              <w:end w:w="70" w:type="dxa"/>
            </w:tcMar>
            <w:vAlign w:val="top"/>
            <w:shd w:fill="F8FAFC"/>
          </w:tcPr>
          <w:p>
            <w:pPr>
              <w:pStyle w:val="TableCompact"/>
            </w:pPr>
            <w:r>
              <w:rPr>
                <w:sz w:val="15"/>
              </w:rPr>
              <w:t>Pruebas unitarias, integración y regresión aprobadas.</w:t>
            </w:r>
          </w:p>
        </w:tc>
      </w:tr>
      <w:tr>
        <w:trPr>
          <w:cantSplit/>
        </w:trPr>
        <w:tc>
          <w:tcPr>
            <w:tcW w:type="dxa" w:w="4680"/>
            <w:tcMar>
              <w:top w:w="70" w:type="dxa"/>
              <w:start w:w="70" w:type="dxa"/>
              <w:bottom w:w="70" w:type="dxa"/>
              <w:end w:w="70" w:type="dxa"/>
            </w:tcMar>
            <w:vAlign w:val="top"/>
          </w:tcPr>
          <w:p>
            <w:pPr>
              <w:pStyle w:val="TableCompact"/>
            </w:pPr>
            <w:r>
              <w:rPr>
                <w:sz w:val="15"/>
              </w:rPr>
              <w:t>Diseño de datos, permisos e invariantes definido.</w:t>
            </w:r>
          </w:p>
        </w:tc>
        <w:tc>
          <w:tcPr>
            <w:tcW w:type="dxa" w:w="4752"/>
            <w:tcMar>
              <w:top w:w="70" w:type="dxa"/>
              <w:start w:w="70" w:type="dxa"/>
              <w:bottom w:w="70" w:type="dxa"/>
              <w:end w:w="70" w:type="dxa"/>
            </w:tcMar>
            <w:vAlign w:val="top"/>
          </w:tcPr>
          <w:p>
            <w:pPr>
              <w:pStyle w:val="TableCompact"/>
            </w:pPr>
            <w:r>
              <w:rPr>
                <w:sz w:val="15"/>
              </w:rPr>
              <w:t>Migración reversible y datos existentes preservados.</w:t>
            </w:r>
          </w:p>
        </w:tc>
      </w:tr>
      <w:tr>
        <w:trPr>
          <w:cantSplit/>
        </w:trPr>
        <w:tc>
          <w:tcPr>
            <w:tcW w:type="dxa" w:w="4680"/>
            <w:tcMar>
              <w:top w:w="70" w:type="dxa"/>
              <w:start w:w="70" w:type="dxa"/>
              <w:bottom w:w="70" w:type="dxa"/>
              <w:end w:w="70" w:type="dxa"/>
            </w:tcMar>
            <w:vAlign w:val="top"/>
            <w:shd w:fill="F8FAFC"/>
          </w:tcPr>
          <w:p>
            <w:pPr>
              <w:pStyle w:val="TableCompact"/>
            </w:pPr>
            <w:r>
              <w:rPr>
                <w:sz w:val="15"/>
              </w:rPr>
              <w:t>Casos feliz, parcial, error y concurrencia definidos.</w:t>
            </w:r>
          </w:p>
        </w:tc>
        <w:tc>
          <w:tcPr>
            <w:tcW w:type="dxa" w:w="4752"/>
            <w:tcMar>
              <w:top w:w="70" w:type="dxa"/>
              <w:start w:w="70" w:type="dxa"/>
              <w:bottom w:w="70" w:type="dxa"/>
              <w:end w:w="70" w:type="dxa"/>
            </w:tcMar>
            <w:vAlign w:val="top"/>
            <w:shd w:fill="F8FAFC"/>
          </w:tcPr>
          <w:p>
            <w:pPr>
              <w:pStyle w:val="TableCompact"/>
            </w:pPr>
            <w:r>
              <w:rPr>
                <w:sz w:val="15"/>
              </w:rPr>
              <w:t>Bitácora, observabilidad y manejo de errores incluidos.</w:t>
            </w:r>
          </w:p>
        </w:tc>
      </w:tr>
      <w:tr>
        <w:trPr>
          <w:cantSplit/>
        </w:trPr>
        <w:tc>
          <w:tcPr>
            <w:tcW w:type="dxa" w:w="4680"/>
            <w:tcMar>
              <w:top w:w="70" w:type="dxa"/>
              <w:start w:w="70" w:type="dxa"/>
              <w:bottom w:w="70" w:type="dxa"/>
              <w:end w:w="70" w:type="dxa"/>
            </w:tcMar>
            <w:vAlign w:val="top"/>
          </w:tcPr>
          <w:p>
            <w:pPr>
              <w:pStyle w:val="TableCompact"/>
            </w:pPr>
            <w:r>
              <w:rPr>
                <w:sz w:val="15"/>
              </w:rPr>
              <w:t>Dependencias y fuera de alcance explícitos.</w:t>
            </w:r>
          </w:p>
        </w:tc>
        <w:tc>
          <w:tcPr>
            <w:tcW w:type="dxa" w:w="4752"/>
            <w:tcMar>
              <w:top w:w="70" w:type="dxa"/>
              <w:start w:w="70" w:type="dxa"/>
              <w:bottom w:w="70" w:type="dxa"/>
              <w:end w:w="70" w:type="dxa"/>
            </w:tcMar>
            <w:vAlign w:val="top"/>
          </w:tcPr>
          <w:p>
            <w:pPr>
              <w:pStyle w:val="TableCompact"/>
            </w:pPr>
            <w:r>
              <w:rPr>
                <w:sz w:val="15"/>
              </w:rPr>
              <w:t>Documentación técnica y guía de usuario actualizadas.</w:t>
            </w:r>
          </w:p>
        </w:tc>
      </w:tr>
      <w:tr>
        <w:trPr>
          <w:cantSplit/>
        </w:trPr>
        <w:tc>
          <w:tcPr>
            <w:tcW w:type="dxa" w:w="4680"/>
            <w:tcMar>
              <w:top w:w="70" w:type="dxa"/>
              <w:start w:w="70" w:type="dxa"/>
              <w:bottom w:w="70" w:type="dxa"/>
              <w:end w:w="70" w:type="dxa"/>
            </w:tcMar>
            <w:vAlign w:val="top"/>
            <w:shd w:fill="F8FAFC"/>
          </w:tcPr>
          <w:p>
            <w:pPr>
              <w:pStyle w:val="TableCompact"/>
            </w:pPr>
            <w:r>
              <w:rPr>
                <w:sz w:val="15"/>
              </w:rPr>
              <w:t>Datos de prueba y responsables UAT asignados.</w:t>
            </w:r>
          </w:p>
        </w:tc>
        <w:tc>
          <w:tcPr>
            <w:tcW w:type="dxa" w:w="4752"/>
            <w:tcMar>
              <w:top w:w="70" w:type="dxa"/>
              <w:start w:w="70" w:type="dxa"/>
              <w:bottom w:w="70" w:type="dxa"/>
              <w:end w:w="70" w:type="dxa"/>
            </w:tcMar>
            <w:vAlign w:val="top"/>
            <w:shd w:fill="F8FAFC"/>
          </w:tcPr>
          <w:p>
            <w:pPr>
              <w:pStyle w:val="TableCompact"/>
            </w:pPr>
            <w:r>
              <w:rPr>
                <w:sz w:val="15"/>
              </w:rPr>
              <w:t>Aprobación UAT y plan de despliegue/reversa preparados.</w:t>
            </w:r>
          </w:p>
        </w:tc>
      </w:tr>
    </w:tbl>
    <w:p>
      <w:pPr>
        <w:spacing w:after="0"/>
      </w:pPr>
    </w:p>
    <w:p>
      <w:pPr>
        <w:pStyle w:val="Heading1"/>
      </w:pPr>
      <w:r>
        <w:t>9. Backlog técnico priorizado</w:t>
      </w:r>
    </w:p>
    <w:p>
      <w:r>
        <w:t>La prioridad P0 corresponde a invariantes, trazabilidad o riesgos operativos. P1 corresponde a capacidades importantes que pueden ejecutarse después de asegurar el golden path. Los Story Points (SP) expresan complejidad relativa, no duración calendario.</w:t>
      </w:r>
    </w:p>
    <w:tbl>
      <w:tblPr>
        <w:tblStyle w:val="TableGrid"/>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trPr>
        <w:tc>
          <w:tcPr>
            <w:tcW w:type="dxa" w:w="1037"/>
            <w:shd w:fill="102A43"/>
            <w:tcMar>
              <w:top w:w="85" w:type="dxa"/>
              <w:start w:w="80" w:type="dxa"/>
              <w:bottom w:w="85" w:type="dxa"/>
              <w:end w:w="80" w:type="dxa"/>
            </w:tcMar>
            <w:vAlign w:val="center"/>
          </w:tcPr>
          <w:p>
            <w:r>
              <w:rPr>
                <w:b/>
                <w:color w:val="FFFFFF"/>
                <w:sz w:val="13"/>
              </w:rPr>
              <w:t>ID</w:t>
            </w:r>
          </w:p>
        </w:tc>
        <w:tc>
          <w:tcPr>
            <w:tcW w:type="dxa" w:w="3096"/>
            <w:shd w:fill="102A43"/>
            <w:tcMar>
              <w:top w:w="85" w:type="dxa"/>
              <w:start w:w="80" w:type="dxa"/>
              <w:bottom w:w="85" w:type="dxa"/>
              <w:end w:w="80" w:type="dxa"/>
            </w:tcMar>
            <w:vAlign w:val="center"/>
          </w:tcPr>
          <w:p>
            <w:r>
              <w:rPr>
                <w:b/>
                <w:color w:val="FFFFFF"/>
                <w:sz w:val="13"/>
              </w:rPr>
              <w:t>Historia</w:t>
            </w:r>
          </w:p>
        </w:tc>
        <w:tc>
          <w:tcPr>
            <w:tcW w:type="dxa" w:w="4104"/>
            <w:shd w:fill="102A43"/>
            <w:tcMar>
              <w:top w:w="85" w:type="dxa"/>
              <w:start w:w="80" w:type="dxa"/>
              <w:bottom w:w="85" w:type="dxa"/>
              <w:end w:w="80" w:type="dxa"/>
            </w:tcMar>
            <w:vAlign w:val="center"/>
          </w:tcPr>
          <w:p>
            <w:r>
              <w:rPr>
                <w:b/>
                <w:color w:val="FFFFFF"/>
                <w:sz w:val="13"/>
              </w:rPr>
              <w:t>Resultado de negocio/técnico</w:t>
            </w:r>
          </w:p>
        </w:tc>
        <w:tc>
          <w:tcPr>
            <w:tcW w:type="dxa" w:w="605"/>
            <w:shd w:fill="102A43"/>
            <w:tcMar>
              <w:top w:w="85" w:type="dxa"/>
              <w:start w:w="80" w:type="dxa"/>
              <w:bottom w:w="85" w:type="dxa"/>
              <w:end w:w="80" w:type="dxa"/>
            </w:tcMar>
            <w:vAlign w:val="center"/>
          </w:tcPr>
          <w:p>
            <w:r>
              <w:rPr>
                <w:b/>
                <w:color w:val="FFFFFF"/>
                <w:sz w:val="13"/>
              </w:rPr>
              <w:t>Pri.</w:t>
            </w:r>
          </w:p>
        </w:tc>
        <w:tc>
          <w:tcPr>
            <w:tcW w:type="dxa" w:w="461"/>
            <w:shd w:fill="102A43"/>
            <w:tcMar>
              <w:top w:w="85" w:type="dxa"/>
              <w:start w:w="80" w:type="dxa"/>
              <w:bottom w:w="85" w:type="dxa"/>
              <w:end w:w="80" w:type="dxa"/>
            </w:tcMar>
            <w:vAlign w:val="center"/>
          </w:tcPr>
          <w:p>
            <w:r>
              <w:rPr>
                <w:b/>
                <w:color w:val="FFFFFF"/>
                <w:sz w:val="13"/>
              </w:rPr>
              <w:t>SP</w:t>
            </w:r>
          </w:p>
        </w:tc>
      </w:tr>
      <w:tr>
        <w:trPr>
          <w:cantSplit/>
        </w:trPr>
        <w:tc>
          <w:tcPr>
            <w:tcW w:type="dxa" w:w="1037"/>
            <w:tcMar>
              <w:top w:w="70" w:type="dxa"/>
              <w:start w:w="70" w:type="dxa"/>
              <w:bottom w:w="70" w:type="dxa"/>
              <w:end w:w="70" w:type="dxa"/>
            </w:tcMar>
            <w:vAlign w:val="top"/>
          </w:tcPr>
          <w:p>
            <w:pPr>
              <w:pStyle w:val="TableCompact"/>
            </w:pPr>
            <w:r>
              <w:rPr>
                <w:sz w:val="13"/>
              </w:rPr>
              <w:t>E0 / US-00</w:t>
            </w:r>
          </w:p>
        </w:tc>
        <w:tc>
          <w:tcPr>
            <w:tcW w:type="dxa" w:w="3096"/>
            <w:tcMar>
              <w:top w:w="70" w:type="dxa"/>
              <w:start w:w="70" w:type="dxa"/>
              <w:bottom w:w="70" w:type="dxa"/>
              <w:end w:w="70" w:type="dxa"/>
            </w:tcMar>
            <w:vAlign w:val="top"/>
          </w:tcPr>
          <w:p>
            <w:pPr>
              <w:pStyle w:val="TableCompact"/>
            </w:pPr>
            <w:r>
              <w:rPr>
                <w:sz w:val="13"/>
              </w:rPr>
              <w:t>Auditar implementación actual contra las 10 solicitudes</w:t>
            </w:r>
          </w:p>
        </w:tc>
        <w:tc>
          <w:tcPr>
            <w:tcW w:type="dxa" w:w="4104"/>
            <w:tcMar>
              <w:top w:w="70" w:type="dxa"/>
              <w:start w:w="70" w:type="dxa"/>
              <w:bottom w:w="70" w:type="dxa"/>
              <w:end w:w="70" w:type="dxa"/>
            </w:tcMar>
            <w:vAlign w:val="top"/>
          </w:tcPr>
          <w:p>
            <w:pPr>
              <w:pStyle w:val="TableCompact"/>
            </w:pPr>
            <w:r>
              <w:rPr>
                <w:sz w:val="13"/>
              </w:rPr>
              <w:t>Confirmar qué ya existe para evitar reconstrucción y regresiones.</w:t>
            </w:r>
          </w:p>
        </w:tc>
        <w:tc>
          <w:tcPr>
            <w:tcW w:type="dxa" w:w="605"/>
            <w:tcMar>
              <w:top w:w="70" w:type="dxa"/>
              <w:start w:w="70" w:type="dxa"/>
              <w:bottom w:w="70" w:type="dxa"/>
              <w:end w:w="70" w:type="dxa"/>
            </w:tcMar>
            <w:vAlign w:val="top"/>
          </w:tcPr>
          <w:p>
            <w:pPr>
              <w:pStyle w:val="TableCompact"/>
            </w:pPr>
            <w:r>
              <w:rPr>
                <w:sz w:val="13"/>
              </w:rPr>
              <w:t>P0</w:t>
            </w:r>
          </w:p>
        </w:tc>
        <w:tc>
          <w:tcPr>
            <w:tcW w:type="dxa" w:w="461"/>
            <w:tcMar>
              <w:top w:w="70" w:type="dxa"/>
              <w:start w:w="70" w:type="dxa"/>
              <w:bottom w:w="70" w:type="dxa"/>
              <w:end w:w="70" w:type="dxa"/>
            </w:tcMar>
            <w:vAlign w:val="top"/>
          </w:tcPr>
          <w:p>
            <w:pPr>
              <w:pStyle w:val="TableCompact"/>
            </w:pPr>
            <w:r>
              <w:rPr>
                <w:sz w:val="13"/>
              </w:rPr>
              <w:t>5</w:t>
            </w:r>
          </w:p>
        </w:tc>
      </w:tr>
      <w:tr>
        <w:trPr>
          <w:cantSplit/>
        </w:trPr>
        <w:tc>
          <w:tcPr>
            <w:tcW w:type="dxa" w:w="1037"/>
            <w:tcMar>
              <w:top w:w="70" w:type="dxa"/>
              <w:start w:w="70" w:type="dxa"/>
              <w:bottom w:w="70" w:type="dxa"/>
              <w:end w:w="70" w:type="dxa"/>
            </w:tcMar>
            <w:vAlign w:val="top"/>
            <w:shd w:fill="F8FAFC"/>
          </w:tcPr>
          <w:p>
            <w:pPr>
              <w:pStyle w:val="TableCompact"/>
            </w:pPr>
            <w:r>
              <w:rPr>
                <w:sz w:val="13"/>
              </w:rPr>
              <w:t>E0 / US-01</w:t>
            </w:r>
          </w:p>
        </w:tc>
        <w:tc>
          <w:tcPr>
            <w:tcW w:type="dxa" w:w="3096"/>
            <w:tcMar>
              <w:top w:w="70" w:type="dxa"/>
              <w:start w:w="70" w:type="dxa"/>
              <w:bottom w:w="70" w:type="dxa"/>
              <w:end w:w="70" w:type="dxa"/>
            </w:tcMar>
            <w:vAlign w:val="top"/>
            <w:shd w:fill="F8FAFC"/>
          </w:tcPr>
          <w:p>
            <w:pPr>
              <w:pStyle w:val="TableCompact"/>
            </w:pPr>
            <w:r>
              <w:rPr>
                <w:sz w:val="13"/>
              </w:rPr>
              <w:t>Definir estados y modelo documental</w:t>
            </w:r>
          </w:p>
        </w:tc>
        <w:tc>
          <w:tcPr>
            <w:tcW w:type="dxa" w:w="4104"/>
            <w:tcMar>
              <w:top w:w="70" w:type="dxa"/>
              <w:start w:w="70" w:type="dxa"/>
              <w:bottom w:w="70" w:type="dxa"/>
              <w:end w:w="70" w:type="dxa"/>
            </w:tcMar>
            <w:vAlign w:val="top"/>
            <w:shd w:fill="F8FAFC"/>
          </w:tcPr>
          <w:p>
            <w:pPr>
              <w:pStyle w:val="TableCompact"/>
            </w:pPr>
            <w:r>
              <w:rPr>
                <w:sz w:val="13"/>
              </w:rPr>
              <w:t>Separar entrega, facturación y pago para conocer el estado real.</w:t>
            </w:r>
          </w:p>
        </w:tc>
        <w:tc>
          <w:tcPr>
            <w:tcW w:type="dxa" w:w="605"/>
            <w:tcMar>
              <w:top w:w="70" w:type="dxa"/>
              <w:start w:w="70" w:type="dxa"/>
              <w:bottom w:w="70" w:type="dxa"/>
              <w:end w:w="70" w:type="dxa"/>
            </w:tcMar>
            <w:vAlign w:val="top"/>
            <w:shd w:fill="F8FAFC"/>
          </w:tcPr>
          <w:p>
            <w:pPr>
              <w:pStyle w:val="TableCompact"/>
            </w:pPr>
            <w:r>
              <w:rPr>
                <w:sz w:val="13"/>
              </w:rPr>
              <w:t>P0</w:t>
            </w:r>
          </w:p>
        </w:tc>
        <w:tc>
          <w:tcPr>
            <w:tcW w:type="dxa" w:w="461"/>
            <w:tcMar>
              <w:top w:w="70" w:type="dxa"/>
              <w:start w:w="70" w:type="dxa"/>
              <w:bottom w:w="70" w:type="dxa"/>
              <w:end w:w="70" w:type="dxa"/>
            </w:tcMar>
            <w:vAlign w:val="top"/>
            <w:shd w:fill="F8FAFC"/>
          </w:tcPr>
          <w:p>
            <w:pPr>
              <w:pStyle w:val="TableCompact"/>
            </w:pPr>
            <w:r>
              <w:rPr>
                <w:sz w:val="13"/>
              </w:rPr>
              <w:t>5</w:t>
            </w:r>
          </w:p>
        </w:tc>
      </w:tr>
      <w:tr>
        <w:trPr>
          <w:cantSplit/>
        </w:trPr>
        <w:tc>
          <w:tcPr>
            <w:tcW w:type="dxa" w:w="1037"/>
            <w:tcMar>
              <w:top w:w="70" w:type="dxa"/>
              <w:start w:w="70" w:type="dxa"/>
              <w:bottom w:w="70" w:type="dxa"/>
              <w:end w:w="70" w:type="dxa"/>
            </w:tcMar>
            <w:vAlign w:val="top"/>
          </w:tcPr>
          <w:p>
            <w:pPr>
              <w:pStyle w:val="TableCompact"/>
            </w:pPr>
            <w:r>
              <w:rPr>
                <w:sz w:val="13"/>
              </w:rPr>
              <w:t>E1 / US-10</w:t>
            </w:r>
          </w:p>
        </w:tc>
        <w:tc>
          <w:tcPr>
            <w:tcW w:type="dxa" w:w="3096"/>
            <w:tcMar>
              <w:top w:w="70" w:type="dxa"/>
              <w:start w:w="70" w:type="dxa"/>
              <w:bottom w:w="70" w:type="dxa"/>
              <w:end w:w="70" w:type="dxa"/>
            </w:tcMar>
            <w:vAlign w:val="top"/>
          </w:tcPr>
          <w:p>
            <w:pPr>
              <w:pStyle w:val="TableCompact"/>
            </w:pPr>
            <w:r>
              <w:rPr>
                <w:sz w:val="13"/>
              </w:rPr>
              <w:t>Seleccionar partidas desde cotización</w:t>
            </w:r>
          </w:p>
        </w:tc>
        <w:tc>
          <w:tcPr>
            <w:tcW w:type="dxa" w:w="4104"/>
            <w:tcMar>
              <w:top w:w="70" w:type="dxa"/>
              <w:start w:w="70" w:type="dxa"/>
              <w:bottom w:w="70" w:type="dxa"/>
              <w:end w:w="70" w:type="dxa"/>
            </w:tcMar>
            <w:vAlign w:val="top"/>
          </w:tcPr>
          <w:p>
            <w:pPr>
              <w:pStyle w:val="TableCompact"/>
            </w:pPr>
            <w:r>
              <w:rPr>
                <w:sz w:val="13"/>
              </w:rPr>
              <w:t>Seleccionar líneas para generar una remisión parcial o total.</w:t>
            </w:r>
          </w:p>
        </w:tc>
        <w:tc>
          <w:tcPr>
            <w:tcW w:type="dxa" w:w="605"/>
            <w:tcMar>
              <w:top w:w="70" w:type="dxa"/>
              <w:start w:w="70" w:type="dxa"/>
              <w:bottom w:w="70" w:type="dxa"/>
              <w:end w:w="70" w:type="dxa"/>
            </w:tcMar>
            <w:vAlign w:val="top"/>
          </w:tcPr>
          <w:p>
            <w:pPr>
              <w:pStyle w:val="TableCompact"/>
            </w:pPr>
            <w:r>
              <w:rPr>
                <w:sz w:val="13"/>
              </w:rPr>
              <w:t>P0</w:t>
            </w:r>
          </w:p>
        </w:tc>
        <w:tc>
          <w:tcPr>
            <w:tcW w:type="dxa" w:w="461"/>
            <w:tcMar>
              <w:top w:w="70" w:type="dxa"/>
              <w:start w:w="70" w:type="dxa"/>
              <w:bottom w:w="70" w:type="dxa"/>
              <w:end w:w="70" w:type="dxa"/>
            </w:tcMar>
            <w:vAlign w:val="top"/>
          </w:tcPr>
          <w:p>
            <w:pPr>
              <w:pStyle w:val="TableCompact"/>
            </w:pPr>
            <w:r>
              <w:rPr>
                <w:sz w:val="13"/>
              </w:rPr>
              <w:t>8</w:t>
            </w:r>
          </w:p>
        </w:tc>
      </w:tr>
      <w:tr>
        <w:trPr>
          <w:cantSplit/>
        </w:trPr>
        <w:tc>
          <w:tcPr>
            <w:tcW w:type="dxa" w:w="1037"/>
            <w:tcMar>
              <w:top w:w="70" w:type="dxa"/>
              <w:start w:w="70" w:type="dxa"/>
              <w:bottom w:w="70" w:type="dxa"/>
              <w:end w:w="70" w:type="dxa"/>
            </w:tcMar>
            <w:vAlign w:val="top"/>
            <w:shd w:fill="F8FAFC"/>
          </w:tcPr>
          <w:p>
            <w:pPr>
              <w:pStyle w:val="TableCompact"/>
            </w:pPr>
            <w:r>
              <w:rPr>
                <w:sz w:val="13"/>
              </w:rPr>
              <w:t>E1 / US-11</w:t>
            </w:r>
          </w:p>
        </w:tc>
        <w:tc>
          <w:tcPr>
            <w:tcW w:type="dxa" w:w="3096"/>
            <w:tcMar>
              <w:top w:w="70" w:type="dxa"/>
              <w:start w:w="70" w:type="dxa"/>
              <w:bottom w:w="70" w:type="dxa"/>
              <w:end w:w="70" w:type="dxa"/>
            </w:tcMar>
            <w:vAlign w:val="top"/>
            <w:shd w:fill="F8FAFC"/>
          </w:tcPr>
          <w:p>
            <w:pPr>
              <w:pStyle w:val="TableCompact"/>
            </w:pPr>
            <w:r>
              <w:rPr>
                <w:sz w:val="13"/>
              </w:rPr>
              <w:t>Crear remisión sin modificar cotización</w:t>
            </w:r>
          </w:p>
        </w:tc>
        <w:tc>
          <w:tcPr>
            <w:tcW w:type="dxa" w:w="4104"/>
            <w:tcMar>
              <w:top w:w="70" w:type="dxa"/>
              <w:start w:w="70" w:type="dxa"/>
              <w:bottom w:w="70" w:type="dxa"/>
              <w:end w:w="70" w:type="dxa"/>
            </w:tcMar>
            <w:vAlign w:val="top"/>
            <w:shd w:fill="F8FAFC"/>
          </w:tcPr>
          <w:p>
            <w:pPr>
              <w:pStyle w:val="TableCompact"/>
            </w:pPr>
            <w:r>
              <w:rPr>
                <w:sz w:val="13"/>
              </w:rPr>
              <w:t>Quitar líneas de la remisión sin borrar el documento original.</w:t>
            </w:r>
          </w:p>
        </w:tc>
        <w:tc>
          <w:tcPr>
            <w:tcW w:type="dxa" w:w="605"/>
            <w:tcMar>
              <w:top w:w="70" w:type="dxa"/>
              <w:start w:w="70" w:type="dxa"/>
              <w:bottom w:w="70" w:type="dxa"/>
              <w:end w:w="70" w:type="dxa"/>
            </w:tcMar>
            <w:vAlign w:val="top"/>
            <w:shd w:fill="F8FAFC"/>
          </w:tcPr>
          <w:p>
            <w:pPr>
              <w:pStyle w:val="TableCompact"/>
            </w:pPr>
            <w:r>
              <w:rPr>
                <w:sz w:val="13"/>
              </w:rPr>
              <w:t>P0</w:t>
            </w:r>
          </w:p>
        </w:tc>
        <w:tc>
          <w:tcPr>
            <w:tcW w:type="dxa" w:w="461"/>
            <w:tcMar>
              <w:top w:w="70" w:type="dxa"/>
              <w:start w:w="70" w:type="dxa"/>
              <w:bottom w:w="70" w:type="dxa"/>
              <w:end w:w="70" w:type="dxa"/>
            </w:tcMar>
            <w:vAlign w:val="top"/>
            <w:shd w:fill="F8FAFC"/>
          </w:tcPr>
          <w:p>
            <w:pPr>
              <w:pStyle w:val="TableCompact"/>
            </w:pPr>
            <w:r>
              <w:rPr>
                <w:sz w:val="13"/>
              </w:rPr>
              <w:t>5</w:t>
            </w:r>
          </w:p>
        </w:tc>
      </w:tr>
      <w:tr>
        <w:trPr>
          <w:cantSplit/>
        </w:trPr>
        <w:tc>
          <w:tcPr>
            <w:tcW w:type="dxa" w:w="1037"/>
            <w:tcMar>
              <w:top w:w="70" w:type="dxa"/>
              <w:start w:w="70" w:type="dxa"/>
              <w:bottom w:w="70" w:type="dxa"/>
              <w:end w:w="70" w:type="dxa"/>
            </w:tcMar>
            <w:vAlign w:val="top"/>
          </w:tcPr>
          <w:p>
            <w:pPr>
              <w:pStyle w:val="TableCompact"/>
            </w:pPr>
            <w:r>
              <w:rPr>
                <w:sz w:val="13"/>
              </w:rPr>
              <w:t>E1 / US-12</w:t>
            </w:r>
          </w:p>
        </w:tc>
        <w:tc>
          <w:tcPr>
            <w:tcW w:type="dxa" w:w="3096"/>
            <w:tcMar>
              <w:top w:w="70" w:type="dxa"/>
              <w:start w:w="70" w:type="dxa"/>
              <w:bottom w:w="70" w:type="dxa"/>
              <w:end w:w="70" w:type="dxa"/>
            </w:tcMar>
            <w:vAlign w:val="top"/>
          </w:tcPr>
          <w:p>
            <w:pPr>
              <w:pStyle w:val="TableCompact"/>
            </w:pPr>
            <w:r>
              <w:rPr>
                <w:sz w:val="13"/>
              </w:rPr>
              <w:t>Buscar cotización desde remisiones</w:t>
            </w:r>
          </w:p>
        </w:tc>
        <w:tc>
          <w:tcPr>
            <w:tcW w:type="dxa" w:w="4104"/>
            <w:tcMar>
              <w:top w:w="70" w:type="dxa"/>
              <w:start w:w="70" w:type="dxa"/>
              <w:bottom w:w="70" w:type="dxa"/>
              <w:end w:w="70" w:type="dxa"/>
            </w:tcMar>
            <w:vAlign w:val="top"/>
          </w:tcPr>
          <w:p>
            <w:pPr>
              <w:pStyle w:val="TableCompact"/>
            </w:pPr>
            <w:r>
              <w:rPr>
                <w:sz w:val="13"/>
              </w:rPr>
              <w:t>Importar una cotización y elegir qué surtir.</w:t>
            </w:r>
          </w:p>
        </w:tc>
        <w:tc>
          <w:tcPr>
            <w:tcW w:type="dxa" w:w="605"/>
            <w:tcMar>
              <w:top w:w="70" w:type="dxa"/>
              <w:start w:w="70" w:type="dxa"/>
              <w:bottom w:w="70" w:type="dxa"/>
              <w:end w:w="70" w:type="dxa"/>
            </w:tcMar>
            <w:vAlign w:val="top"/>
          </w:tcPr>
          <w:p>
            <w:pPr>
              <w:pStyle w:val="TableCompact"/>
            </w:pPr>
            <w:r>
              <w:rPr>
                <w:sz w:val="13"/>
              </w:rPr>
              <w:t>P0</w:t>
            </w:r>
          </w:p>
        </w:tc>
        <w:tc>
          <w:tcPr>
            <w:tcW w:type="dxa" w:w="461"/>
            <w:tcMar>
              <w:top w:w="70" w:type="dxa"/>
              <w:start w:w="70" w:type="dxa"/>
              <w:bottom w:w="70" w:type="dxa"/>
              <w:end w:w="70" w:type="dxa"/>
            </w:tcMar>
            <w:vAlign w:val="top"/>
          </w:tcPr>
          <w:p>
            <w:pPr>
              <w:pStyle w:val="TableCompact"/>
            </w:pPr>
            <w:r>
              <w:rPr>
                <w:sz w:val="13"/>
              </w:rPr>
              <w:t>5</w:t>
            </w:r>
          </w:p>
        </w:tc>
      </w:tr>
      <w:tr>
        <w:trPr>
          <w:cantSplit/>
        </w:trPr>
        <w:tc>
          <w:tcPr>
            <w:tcW w:type="dxa" w:w="1037"/>
            <w:tcMar>
              <w:top w:w="70" w:type="dxa"/>
              <w:start w:w="70" w:type="dxa"/>
              <w:bottom w:w="70" w:type="dxa"/>
              <w:end w:w="70" w:type="dxa"/>
            </w:tcMar>
            <w:vAlign w:val="top"/>
            <w:shd w:fill="F8FAFC"/>
          </w:tcPr>
          <w:p>
            <w:pPr>
              <w:pStyle w:val="TableCompact"/>
            </w:pPr>
            <w:r>
              <w:rPr>
                <w:sz w:val="13"/>
              </w:rPr>
              <w:t>E1 / US-13</w:t>
            </w:r>
          </w:p>
        </w:tc>
        <w:tc>
          <w:tcPr>
            <w:tcW w:type="dxa" w:w="3096"/>
            <w:tcMar>
              <w:top w:w="70" w:type="dxa"/>
              <w:start w:w="70" w:type="dxa"/>
              <w:bottom w:w="70" w:type="dxa"/>
              <w:end w:w="70" w:type="dxa"/>
            </w:tcMar>
            <w:vAlign w:val="top"/>
            <w:shd w:fill="F8FAFC"/>
          </w:tcPr>
          <w:p>
            <w:pPr>
              <w:pStyle w:val="TableCompact"/>
            </w:pPr>
            <w:r>
              <w:rPr>
                <w:sz w:val="13"/>
              </w:rPr>
              <w:t>Controlar cantidades remitidas y pendientes</w:t>
            </w:r>
          </w:p>
        </w:tc>
        <w:tc>
          <w:tcPr>
            <w:tcW w:type="dxa" w:w="4104"/>
            <w:tcMar>
              <w:top w:w="70" w:type="dxa"/>
              <w:start w:w="70" w:type="dxa"/>
              <w:bottom w:w="70" w:type="dxa"/>
              <w:end w:w="70" w:type="dxa"/>
            </w:tcMar>
            <w:vAlign w:val="top"/>
            <w:shd w:fill="F8FAFC"/>
          </w:tcPr>
          <w:p>
            <w:pPr>
              <w:pStyle w:val="TableCompact"/>
            </w:pPr>
            <w:r>
              <w:rPr>
                <w:sz w:val="13"/>
              </w:rPr>
              <w:t>Impedir sobreentregas y consultar saldo por partida.</w:t>
            </w:r>
          </w:p>
        </w:tc>
        <w:tc>
          <w:tcPr>
            <w:tcW w:type="dxa" w:w="605"/>
            <w:tcMar>
              <w:top w:w="70" w:type="dxa"/>
              <w:start w:w="70" w:type="dxa"/>
              <w:bottom w:w="70" w:type="dxa"/>
              <w:end w:w="70" w:type="dxa"/>
            </w:tcMar>
            <w:vAlign w:val="top"/>
            <w:shd w:fill="F8FAFC"/>
          </w:tcPr>
          <w:p>
            <w:pPr>
              <w:pStyle w:val="TableCompact"/>
            </w:pPr>
            <w:r>
              <w:rPr>
                <w:sz w:val="13"/>
              </w:rPr>
              <w:t>P0</w:t>
            </w:r>
          </w:p>
        </w:tc>
        <w:tc>
          <w:tcPr>
            <w:tcW w:type="dxa" w:w="461"/>
            <w:tcMar>
              <w:top w:w="70" w:type="dxa"/>
              <w:start w:w="70" w:type="dxa"/>
              <w:bottom w:w="70" w:type="dxa"/>
              <w:end w:w="70" w:type="dxa"/>
            </w:tcMar>
            <w:vAlign w:val="top"/>
            <w:shd w:fill="F8FAFC"/>
          </w:tcPr>
          <w:p>
            <w:pPr>
              <w:pStyle w:val="TableCompact"/>
            </w:pPr>
            <w:r>
              <w:rPr>
                <w:sz w:val="13"/>
              </w:rPr>
              <w:t>8</w:t>
            </w:r>
          </w:p>
        </w:tc>
      </w:tr>
      <w:tr>
        <w:trPr>
          <w:cantSplit/>
        </w:trPr>
        <w:tc>
          <w:tcPr>
            <w:tcW w:type="dxa" w:w="1037"/>
            <w:tcMar>
              <w:top w:w="70" w:type="dxa"/>
              <w:start w:w="70" w:type="dxa"/>
              <w:bottom w:w="70" w:type="dxa"/>
              <w:end w:w="70" w:type="dxa"/>
            </w:tcMar>
            <w:vAlign w:val="top"/>
          </w:tcPr>
          <w:p>
            <w:pPr>
              <w:pStyle w:val="TableCompact"/>
            </w:pPr>
            <w:r>
              <w:rPr>
                <w:sz w:val="13"/>
              </w:rPr>
              <w:t>E1 / US-14</w:t>
            </w:r>
          </w:p>
        </w:tc>
        <w:tc>
          <w:tcPr>
            <w:tcW w:type="dxa" w:w="3096"/>
            <w:tcMar>
              <w:top w:w="70" w:type="dxa"/>
              <w:start w:w="70" w:type="dxa"/>
              <w:bottom w:w="70" w:type="dxa"/>
              <w:end w:w="70" w:type="dxa"/>
            </w:tcMar>
            <w:vAlign w:val="top"/>
          </w:tcPr>
          <w:p>
            <w:pPr>
              <w:pStyle w:val="TableCompact"/>
            </w:pPr>
            <w:r>
              <w:rPr>
                <w:sz w:val="13"/>
              </w:rPr>
              <w:t>Generar folio único de remisión</w:t>
            </w:r>
          </w:p>
        </w:tc>
        <w:tc>
          <w:tcPr>
            <w:tcW w:type="dxa" w:w="4104"/>
            <w:tcMar>
              <w:top w:w="70" w:type="dxa"/>
              <w:start w:w="70" w:type="dxa"/>
              <w:bottom w:w="70" w:type="dxa"/>
              <w:end w:w="70" w:type="dxa"/>
            </w:tcMar>
            <w:vAlign w:val="top"/>
          </w:tcPr>
          <w:p>
            <w:pPr>
              <w:pStyle w:val="TableCompact"/>
            </w:pPr>
            <w:r>
              <w:rPr>
                <w:sz w:val="13"/>
              </w:rPr>
              <w:t>Folios independientes, correlativos y auditables.</w:t>
            </w:r>
          </w:p>
        </w:tc>
        <w:tc>
          <w:tcPr>
            <w:tcW w:type="dxa" w:w="605"/>
            <w:tcMar>
              <w:top w:w="70" w:type="dxa"/>
              <w:start w:w="70" w:type="dxa"/>
              <w:bottom w:w="70" w:type="dxa"/>
              <w:end w:w="70" w:type="dxa"/>
            </w:tcMar>
            <w:vAlign w:val="top"/>
          </w:tcPr>
          <w:p>
            <w:pPr>
              <w:pStyle w:val="TableCompact"/>
            </w:pPr>
            <w:r>
              <w:rPr>
                <w:sz w:val="13"/>
              </w:rPr>
              <w:t>P0</w:t>
            </w:r>
          </w:p>
        </w:tc>
        <w:tc>
          <w:tcPr>
            <w:tcW w:type="dxa" w:w="461"/>
            <w:tcMar>
              <w:top w:w="70" w:type="dxa"/>
              <w:start w:w="70" w:type="dxa"/>
              <w:bottom w:w="70" w:type="dxa"/>
              <w:end w:w="70" w:type="dxa"/>
            </w:tcMar>
            <w:vAlign w:val="top"/>
          </w:tcPr>
          <w:p>
            <w:pPr>
              <w:pStyle w:val="TableCompact"/>
            </w:pPr>
            <w:r>
              <w:rPr>
                <w:sz w:val="13"/>
              </w:rPr>
              <w:t>5</w:t>
            </w:r>
          </w:p>
        </w:tc>
      </w:tr>
      <w:tr>
        <w:trPr>
          <w:cantSplit/>
        </w:trPr>
        <w:tc>
          <w:tcPr>
            <w:tcW w:type="dxa" w:w="1037"/>
            <w:tcMar>
              <w:top w:w="70" w:type="dxa"/>
              <w:start w:w="70" w:type="dxa"/>
              <w:bottom w:w="70" w:type="dxa"/>
              <w:end w:w="70" w:type="dxa"/>
            </w:tcMar>
            <w:vAlign w:val="top"/>
            <w:shd w:fill="F8FAFC"/>
          </w:tcPr>
          <w:p>
            <w:pPr>
              <w:pStyle w:val="TableCompact"/>
            </w:pPr>
            <w:r>
              <w:rPr>
                <w:sz w:val="13"/>
              </w:rPr>
              <w:t>E2 / US-20</w:t>
            </w:r>
          </w:p>
        </w:tc>
        <w:tc>
          <w:tcPr>
            <w:tcW w:type="dxa" w:w="3096"/>
            <w:tcMar>
              <w:top w:w="70" w:type="dxa"/>
              <w:start w:w="70" w:type="dxa"/>
              <w:bottom w:w="70" w:type="dxa"/>
              <w:end w:w="70" w:type="dxa"/>
            </w:tcMar>
            <w:vAlign w:val="top"/>
            <w:shd w:fill="F8FAFC"/>
          </w:tcPr>
          <w:p>
            <w:pPr>
              <w:pStyle w:val="TableCompact"/>
            </w:pPr>
            <w:r>
              <w:rPr>
                <w:sz w:val="13"/>
              </w:rPr>
              <w:t>Editor con campos permitidos</w:t>
            </w:r>
          </w:p>
        </w:tc>
        <w:tc>
          <w:tcPr>
            <w:tcW w:type="dxa" w:w="4104"/>
            <w:tcMar>
              <w:top w:w="70" w:type="dxa"/>
              <w:start w:w="70" w:type="dxa"/>
              <w:bottom w:w="70" w:type="dxa"/>
              <w:end w:w="70" w:type="dxa"/>
            </w:tcMar>
            <w:vAlign w:val="top"/>
            <w:shd w:fill="F8FAFC"/>
          </w:tcPr>
          <w:p>
            <w:pPr>
              <w:pStyle w:val="TableCompact"/>
            </w:pPr>
            <w:r>
              <w:rPr>
                <w:sz w:val="13"/>
              </w:rPr>
              <w:t>Corregir información logística sin romper la condición comercial.</w:t>
            </w:r>
          </w:p>
        </w:tc>
        <w:tc>
          <w:tcPr>
            <w:tcW w:type="dxa" w:w="605"/>
            <w:tcMar>
              <w:top w:w="70" w:type="dxa"/>
              <w:start w:w="70" w:type="dxa"/>
              <w:bottom w:w="70" w:type="dxa"/>
              <w:end w:w="70" w:type="dxa"/>
            </w:tcMar>
            <w:vAlign w:val="top"/>
            <w:shd w:fill="F8FAFC"/>
          </w:tcPr>
          <w:p>
            <w:pPr>
              <w:pStyle w:val="TableCompact"/>
            </w:pPr>
            <w:r>
              <w:rPr>
                <w:sz w:val="13"/>
              </w:rPr>
              <w:t>P0</w:t>
            </w:r>
          </w:p>
        </w:tc>
        <w:tc>
          <w:tcPr>
            <w:tcW w:type="dxa" w:w="461"/>
            <w:tcMar>
              <w:top w:w="70" w:type="dxa"/>
              <w:start w:w="70" w:type="dxa"/>
              <w:bottom w:w="70" w:type="dxa"/>
              <w:end w:w="70" w:type="dxa"/>
            </w:tcMar>
            <w:vAlign w:val="top"/>
            <w:shd w:fill="F8FAFC"/>
          </w:tcPr>
          <w:p>
            <w:pPr>
              <w:pStyle w:val="TableCompact"/>
            </w:pPr>
            <w:r>
              <w:rPr>
                <w:sz w:val="13"/>
              </w:rPr>
              <w:t>8</w:t>
            </w:r>
          </w:p>
        </w:tc>
      </w:tr>
      <w:tr>
        <w:trPr>
          <w:cantSplit/>
        </w:trPr>
        <w:tc>
          <w:tcPr>
            <w:tcW w:type="dxa" w:w="1037"/>
            <w:tcMar>
              <w:top w:w="70" w:type="dxa"/>
              <w:start w:w="70" w:type="dxa"/>
              <w:bottom w:w="70" w:type="dxa"/>
              <w:end w:w="70" w:type="dxa"/>
            </w:tcMar>
            <w:vAlign w:val="top"/>
          </w:tcPr>
          <w:p>
            <w:pPr>
              <w:pStyle w:val="TableCompact"/>
            </w:pPr>
            <w:r>
              <w:rPr>
                <w:sz w:val="13"/>
              </w:rPr>
              <w:t>E2 / US-21</w:t>
            </w:r>
          </w:p>
        </w:tc>
        <w:tc>
          <w:tcPr>
            <w:tcW w:type="dxa" w:w="3096"/>
            <w:tcMar>
              <w:top w:w="70" w:type="dxa"/>
              <w:start w:w="70" w:type="dxa"/>
              <w:bottom w:w="70" w:type="dxa"/>
              <w:end w:w="70" w:type="dxa"/>
            </w:tcMar>
            <w:vAlign w:val="top"/>
          </w:tcPr>
          <w:p>
            <w:pPr>
              <w:pStyle w:val="TableCompact"/>
            </w:pPr>
            <w:r>
              <w:rPr>
                <w:sz w:val="13"/>
              </w:rPr>
              <w:t>Plantilla/PDF oficial</w:t>
            </w:r>
          </w:p>
        </w:tc>
        <w:tc>
          <w:tcPr>
            <w:tcW w:type="dxa" w:w="4104"/>
            <w:tcMar>
              <w:top w:w="70" w:type="dxa"/>
              <w:start w:w="70" w:type="dxa"/>
              <w:bottom w:w="70" w:type="dxa"/>
              <w:end w:w="70" w:type="dxa"/>
            </w:tcMar>
            <w:vAlign w:val="top"/>
          </w:tcPr>
          <w:p>
            <w:pPr>
              <w:pStyle w:val="TableCompact"/>
            </w:pPr>
            <w:r>
              <w:rPr>
                <w:sz w:val="13"/>
              </w:rPr>
              <w:t>Documento claramente identificado como REMISIÓN.</w:t>
            </w:r>
          </w:p>
        </w:tc>
        <w:tc>
          <w:tcPr>
            <w:tcW w:type="dxa" w:w="605"/>
            <w:tcMar>
              <w:top w:w="70" w:type="dxa"/>
              <w:start w:w="70" w:type="dxa"/>
              <w:bottom w:w="70" w:type="dxa"/>
              <w:end w:w="70" w:type="dxa"/>
            </w:tcMar>
            <w:vAlign w:val="top"/>
          </w:tcPr>
          <w:p>
            <w:pPr>
              <w:pStyle w:val="TableCompact"/>
            </w:pPr>
            <w:r>
              <w:rPr>
                <w:sz w:val="13"/>
              </w:rPr>
              <w:t>P0</w:t>
            </w:r>
          </w:p>
        </w:tc>
        <w:tc>
          <w:tcPr>
            <w:tcW w:type="dxa" w:w="461"/>
            <w:tcMar>
              <w:top w:w="70" w:type="dxa"/>
              <w:start w:w="70" w:type="dxa"/>
              <w:bottom w:w="70" w:type="dxa"/>
              <w:end w:w="70" w:type="dxa"/>
            </w:tcMar>
            <w:vAlign w:val="top"/>
          </w:tcPr>
          <w:p>
            <w:pPr>
              <w:pStyle w:val="TableCompact"/>
            </w:pPr>
            <w:r>
              <w:rPr>
                <w:sz w:val="13"/>
              </w:rPr>
              <w:t>8</w:t>
            </w:r>
          </w:p>
        </w:tc>
      </w:tr>
      <w:tr>
        <w:trPr>
          <w:cantSplit/>
        </w:trPr>
        <w:tc>
          <w:tcPr>
            <w:tcW w:type="dxa" w:w="1037"/>
            <w:tcMar>
              <w:top w:w="70" w:type="dxa"/>
              <w:start w:w="70" w:type="dxa"/>
              <w:bottom w:w="70" w:type="dxa"/>
              <w:end w:w="70" w:type="dxa"/>
            </w:tcMar>
            <w:vAlign w:val="top"/>
            <w:shd w:fill="F8FAFC"/>
          </w:tcPr>
          <w:p>
            <w:pPr>
              <w:pStyle w:val="TableCompact"/>
            </w:pPr>
            <w:r>
              <w:rPr>
                <w:sz w:val="13"/>
              </w:rPr>
              <w:t>E3 / US-30</w:t>
            </w:r>
          </w:p>
        </w:tc>
        <w:tc>
          <w:tcPr>
            <w:tcW w:type="dxa" w:w="3096"/>
            <w:tcMar>
              <w:top w:w="70" w:type="dxa"/>
              <w:start w:w="70" w:type="dxa"/>
              <w:bottom w:w="70" w:type="dxa"/>
              <w:end w:w="70" w:type="dxa"/>
            </w:tcMar>
            <w:vAlign w:val="top"/>
            <w:shd w:fill="F8FAFC"/>
          </w:tcPr>
          <w:p>
            <w:pPr>
              <w:pStyle w:val="TableCompact"/>
            </w:pPr>
            <w:r>
              <w:rPr>
                <w:sz w:val="13"/>
              </w:rPr>
              <w:t>Autorizado y firma</w:t>
            </w:r>
          </w:p>
        </w:tc>
        <w:tc>
          <w:tcPr>
            <w:tcW w:type="dxa" w:w="4104"/>
            <w:tcMar>
              <w:top w:w="70" w:type="dxa"/>
              <w:start w:w="70" w:type="dxa"/>
              <w:bottom w:w="70" w:type="dxa"/>
              <w:end w:w="70" w:type="dxa"/>
            </w:tcMar>
            <w:vAlign w:val="top"/>
            <w:shd w:fill="F8FAFC"/>
          </w:tcPr>
          <w:p>
            <w:pPr>
              <w:pStyle w:val="TableCompact"/>
            </w:pPr>
            <w:r>
              <w:rPr>
                <w:sz w:val="13"/>
              </w:rPr>
              <w:t>Seleccionar o capturar al responsable que autoriza.</w:t>
            </w:r>
          </w:p>
        </w:tc>
        <w:tc>
          <w:tcPr>
            <w:tcW w:type="dxa" w:w="605"/>
            <w:tcMar>
              <w:top w:w="70" w:type="dxa"/>
              <w:start w:w="70" w:type="dxa"/>
              <w:bottom w:w="70" w:type="dxa"/>
              <w:end w:w="70" w:type="dxa"/>
            </w:tcMar>
            <w:vAlign w:val="top"/>
            <w:shd w:fill="F8FAFC"/>
          </w:tcPr>
          <w:p>
            <w:pPr>
              <w:pStyle w:val="TableCompact"/>
            </w:pPr>
            <w:r>
              <w:rPr>
                <w:sz w:val="13"/>
              </w:rPr>
              <w:t>P1</w:t>
            </w:r>
          </w:p>
        </w:tc>
        <w:tc>
          <w:tcPr>
            <w:tcW w:type="dxa" w:w="461"/>
            <w:tcMar>
              <w:top w:w="70" w:type="dxa"/>
              <w:start w:w="70" w:type="dxa"/>
              <w:bottom w:w="70" w:type="dxa"/>
              <w:end w:w="70" w:type="dxa"/>
            </w:tcMar>
            <w:vAlign w:val="top"/>
            <w:shd w:fill="F8FAFC"/>
          </w:tcPr>
          <w:p>
            <w:pPr>
              <w:pStyle w:val="TableCompact"/>
            </w:pPr>
            <w:r>
              <w:rPr>
                <w:sz w:val="13"/>
              </w:rPr>
              <w:t>3</w:t>
            </w:r>
          </w:p>
        </w:tc>
      </w:tr>
      <w:tr>
        <w:trPr>
          <w:cantSplit/>
        </w:trPr>
        <w:tc>
          <w:tcPr>
            <w:tcW w:type="dxa" w:w="1037"/>
            <w:tcMar>
              <w:top w:w="70" w:type="dxa"/>
              <w:start w:w="70" w:type="dxa"/>
              <w:bottom w:w="70" w:type="dxa"/>
              <w:end w:w="70" w:type="dxa"/>
            </w:tcMar>
            <w:vAlign w:val="top"/>
          </w:tcPr>
          <w:p>
            <w:pPr>
              <w:pStyle w:val="TableCompact"/>
            </w:pPr>
            <w:r>
              <w:rPr>
                <w:sz w:val="13"/>
              </w:rPr>
              <w:t>E3 / US-31</w:t>
            </w:r>
          </w:p>
        </w:tc>
        <w:tc>
          <w:tcPr>
            <w:tcW w:type="dxa" w:w="3096"/>
            <w:tcMar>
              <w:top w:w="70" w:type="dxa"/>
              <w:start w:w="70" w:type="dxa"/>
              <w:bottom w:w="70" w:type="dxa"/>
              <w:end w:w="70" w:type="dxa"/>
            </w:tcMar>
            <w:vAlign w:val="top"/>
          </w:tcPr>
          <w:p>
            <w:pPr>
              <w:pStyle w:val="TableCompact"/>
            </w:pPr>
            <w:r>
              <w:rPr>
                <w:sz w:val="13"/>
              </w:rPr>
              <w:t>Documentos relacionados</w:t>
            </w:r>
          </w:p>
        </w:tc>
        <w:tc>
          <w:tcPr>
            <w:tcW w:type="dxa" w:w="4104"/>
            <w:tcMar>
              <w:top w:w="70" w:type="dxa"/>
              <w:start w:w="70" w:type="dxa"/>
              <w:bottom w:w="70" w:type="dxa"/>
              <w:end w:w="70" w:type="dxa"/>
            </w:tcMar>
            <w:vAlign w:val="top"/>
          </w:tcPr>
          <w:p>
            <w:pPr>
              <w:pStyle w:val="TableCompact"/>
            </w:pPr>
            <w:r>
              <w:rPr>
                <w:sz w:val="13"/>
              </w:rPr>
              <w:t>Registrar cotización, reporte o factura y ocultar la sección vacía.</w:t>
            </w:r>
          </w:p>
        </w:tc>
        <w:tc>
          <w:tcPr>
            <w:tcW w:type="dxa" w:w="605"/>
            <w:tcMar>
              <w:top w:w="70" w:type="dxa"/>
              <w:start w:w="70" w:type="dxa"/>
              <w:bottom w:w="70" w:type="dxa"/>
              <w:end w:w="70" w:type="dxa"/>
            </w:tcMar>
            <w:vAlign w:val="top"/>
          </w:tcPr>
          <w:p>
            <w:pPr>
              <w:pStyle w:val="TableCompact"/>
            </w:pPr>
            <w:r>
              <w:rPr>
                <w:sz w:val="13"/>
              </w:rPr>
              <w:t>P1</w:t>
            </w:r>
          </w:p>
        </w:tc>
        <w:tc>
          <w:tcPr>
            <w:tcW w:type="dxa" w:w="461"/>
            <w:tcMar>
              <w:top w:w="70" w:type="dxa"/>
              <w:start w:w="70" w:type="dxa"/>
              <w:bottom w:w="70" w:type="dxa"/>
              <w:end w:w="70" w:type="dxa"/>
            </w:tcMar>
            <w:vAlign w:val="top"/>
          </w:tcPr>
          <w:p>
            <w:pPr>
              <w:pStyle w:val="TableCompact"/>
            </w:pPr>
            <w:r>
              <w:rPr>
                <w:sz w:val="13"/>
              </w:rPr>
              <w:t>5</w:t>
            </w:r>
          </w:p>
        </w:tc>
      </w:tr>
      <w:tr>
        <w:trPr>
          <w:cantSplit/>
        </w:trPr>
        <w:tc>
          <w:tcPr>
            <w:tcW w:type="dxa" w:w="1037"/>
            <w:tcMar>
              <w:top w:w="70" w:type="dxa"/>
              <w:start w:w="70" w:type="dxa"/>
              <w:bottom w:w="70" w:type="dxa"/>
              <w:end w:w="70" w:type="dxa"/>
            </w:tcMar>
            <w:vAlign w:val="top"/>
            <w:shd w:fill="F8FAFC"/>
          </w:tcPr>
          <w:p>
            <w:pPr>
              <w:pStyle w:val="TableCompact"/>
            </w:pPr>
            <w:r>
              <w:rPr>
                <w:sz w:val="13"/>
              </w:rPr>
              <w:t>E4 / US-40</w:t>
            </w:r>
          </w:p>
        </w:tc>
        <w:tc>
          <w:tcPr>
            <w:tcW w:type="dxa" w:w="3096"/>
            <w:tcMar>
              <w:top w:w="70" w:type="dxa"/>
              <w:start w:w="70" w:type="dxa"/>
              <w:bottom w:w="70" w:type="dxa"/>
              <w:end w:w="70" w:type="dxa"/>
            </w:tcMar>
            <w:vAlign w:val="top"/>
            <w:shd w:fill="F8FAFC"/>
          </w:tcPr>
          <w:p>
            <w:pPr>
              <w:pStyle w:val="TableCompact"/>
            </w:pPr>
            <w:r>
              <w:rPr>
                <w:sz w:val="13"/>
              </w:rPr>
              <w:t>Estatus facturado y factura de ingreso</w:t>
            </w:r>
          </w:p>
        </w:tc>
        <w:tc>
          <w:tcPr>
            <w:tcW w:type="dxa" w:w="4104"/>
            <w:tcMar>
              <w:top w:w="70" w:type="dxa"/>
              <w:start w:w="70" w:type="dxa"/>
              <w:bottom w:w="70" w:type="dxa"/>
              <w:end w:w="70" w:type="dxa"/>
            </w:tcMar>
            <w:vAlign w:val="top"/>
            <w:shd w:fill="F8FAFC"/>
          </w:tcPr>
          <w:p>
            <w:pPr>
              <w:pStyle w:val="TableCompact"/>
            </w:pPr>
            <w:r>
              <w:rPr>
                <w:sz w:val="13"/>
              </w:rPr>
              <w:t>Marcar y referenciar la factura asociada.</w:t>
            </w:r>
          </w:p>
        </w:tc>
        <w:tc>
          <w:tcPr>
            <w:tcW w:type="dxa" w:w="605"/>
            <w:tcMar>
              <w:top w:w="70" w:type="dxa"/>
              <w:start w:w="70" w:type="dxa"/>
              <w:bottom w:w="70" w:type="dxa"/>
              <w:end w:w="70" w:type="dxa"/>
            </w:tcMar>
            <w:vAlign w:val="top"/>
            <w:shd w:fill="F8FAFC"/>
          </w:tcPr>
          <w:p>
            <w:pPr>
              <w:pStyle w:val="TableCompact"/>
            </w:pPr>
            <w:r>
              <w:rPr>
                <w:sz w:val="13"/>
              </w:rPr>
              <w:t>P1</w:t>
            </w:r>
          </w:p>
        </w:tc>
        <w:tc>
          <w:tcPr>
            <w:tcW w:type="dxa" w:w="461"/>
            <w:tcMar>
              <w:top w:w="70" w:type="dxa"/>
              <w:start w:w="70" w:type="dxa"/>
              <w:bottom w:w="70" w:type="dxa"/>
              <w:end w:w="70" w:type="dxa"/>
            </w:tcMar>
            <w:vAlign w:val="top"/>
            <w:shd w:fill="F8FAFC"/>
          </w:tcPr>
          <w:p>
            <w:pPr>
              <w:pStyle w:val="TableCompact"/>
            </w:pPr>
            <w:r>
              <w:rPr>
                <w:sz w:val="13"/>
              </w:rPr>
              <w:t>5</w:t>
            </w:r>
          </w:p>
        </w:tc>
      </w:tr>
      <w:tr>
        <w:trPr>
          <w:cantSplit/>
        </w:trPr>
        <w:tc>
          <w:tcPr>
            <w:tcW w:type="dxa" w:w="1037"/>
            <w:tcMar>
              <w:top w:w="70" w:type="dxa"/>
              <w:start w:w="70" w:type="dxa"/>
              <w:bottom w:w="70" w:type="dxa"/>
              <w:end w:w="70" w:type="dxa"/>
            </w:tcMar>
            <w:vAlign w:val="top"/>
          </w:tcPr>
          <w:p>
            <w:pPr>
              <w:pStyle w:val="TableCompact"/>
            </w:pPr>
            <w:r>
              <w:rPr>
                <w:sz w:val="13"/>
              </w:rPr>
              <w:t>E4 / US-41</w:t>
            </w:r>
          </w:p>
        </w:tc>
        <w:tc>
          <w:tcPr>
            <w:tcW w:type="dxa" w:w="3096"/>
            <w:tcMar>
              <w:top w:w="70" w:type="dxa"/>
              <w:start w:w="70" w:type="dxa"/>
              <w:bottom w:w="70" w:type="dxa"/>
              <w:end w:w="70" w:type="dxa"/>
            </w:tcMar>
            <w:vAlign w:val="top"/>
          </w:tcPr>
          <w:p>
            <w:pPr>
              <w:pStyle w:val="TableCompact"/>
            </w:pPr>
            <w:r>
              <w:rPr>
                <w:sz w:val="13"/>
              </w:rPr>
              <w:t>Estatus pagado y complemento</w:t>
            </w:r>
          </w:p>
        </w:tc>
        <w:tc>
          <w:tcPr>
            <w:tcW w:type="dxa" w:w="4104"/>
            <w:tcMar>
              <w:top w:w="70" w:type="dxa"/>
              <w:start w:w="70" w:type="dxa"/>
              <w:bottom w:w="70" w:type="dxa"/>
              <w:end w:w="70" w:type="dxa"/>
            </w:tcMar>
            <w:vAlign w:val="top"/>
          </w:tcPr>
          <w:p>
            <w:pPr>
              <w:pStyle w:val="TableCompact"/>
            </w:pPr>
            <w:r>
              <w:rPr>
                <w:sz w:val="13"/>
              </w:rPr>
              <w:t>Distinguir pago y complemento de la factura de ingreso.</w:t>
            </w:r>
          </w:p>
        </w:tc>
        <w:tc>
          <w:tcPr>
            <w:tcW w:type="dxa" w:w="605"/>
            <w:tcMar>
              <w:top w:w="70" w:type="dxa"/>
              <w:start w:w="70" w:type="dxa"/>
              <w:bottom w:w="70" w:type="dxa"/>
              <w:end w:w="70" w:type="dxa"/>
            </w:tcMar>
            <w:vAlign w:val="top"/>
          </w:tcPr>
          <w:p>
            <w:pPr>
              <w:pStyle w:val="TableCompact"/>
            </w:pPr>
            <w:r>
              <w:rPr>
                <w:sz w:val="13"/>
              </w:rPr>
              <w:t>P1</w:t>
            </w:r>
          </w:p>
        </w:tc>
        <w:tc>
          <w:tcPr>
            <w:tcW w:type="dxa" w:w="461"/>
            <w:tcMar>
              <w:top w:w="70" w:type="dxa"/>
              <w:start w:w="70" w:type="dxa"/>
              <w:bottom w:w="70" w:type="dxa"/>
              <w:end w:w="70" w:type="dxa"/>
            </w:tcMar>
            <w:vAlign w:val="top"/>
          </w:tcPr>
          <w:p>
            <w:pPr>
              <w:pStyle w:val="TableCompact"/>
            </w:pPr>
            <w:r>
              <w:rPr>
                <w:sz w:val="13"/>
              </w:rPr>
              <w:t>5</w:t>
            </w:r>
          </w:p>
        </w:tc>
      </w:tr>
      <w:tr>
        <w:trPr>
          <w:cantSplit/>
        </w:trPr>
        <w:tc>
          <w:tcPr>
            <w:tcW w:type="dxa" w:w="1037"/>
            <w:tcMar>
              <w:top w:w="70" w:type="dxa"/>
              <w:start w:w="70" w:type="dxa"/>
              <w:bottom w:w="70" w:type="dxa"/>
              <w:end w:w="70" w:type="dxa"/>
            </w:tcMar>
            <w:vAlign w:val="top"/>
            <w:shd w:fill="F8FAFC"/>
          </w:tcPr>
          <w:p>
            <w:pPr>
              <w:pStyle w:val="TableCompact"/>
            </w:pPr>
            <w:r>
              <w:rPr>
                <w:sz w:val="13"/>
              </w:rPr>
              <w:t>E4 / US-42</w:t>
            </w:r>
          </w:p>
        </w:tc>
        <w:tc>
          <w:tcPr>
            <w:tcW w:type="dxa" w:w="3096"/>
            <w:tcMar>
              <w:top w:w="70" w:type="dxa"/>
              <w:start w:w="70" w:type="dxa"/>
              <w:bottom w:w="70" w:type="dxa"/>
              <w:end w:w="70" w:type="dxa"/>
            </w:tcMar>
            <w:vAlign w:val="top"/>
            <w:shd w:fill="F8FAFC"/>
          </w:tcPr>
          <w:p>
            <w:pPr>
              <w:pStyle w:val="TableCompact"/>
            </w:pPr>
            <w:r>
              <w:rPr>
                <w:sz w:val="13"/>
              </w:rPr>
              <w:t>Sincronización con CxC</w:t>
            </w:r>
          </w:p>
        </w:tc>
        <w:tc>
          <w:tcPr>
            <w:tcW w:type="dxa" w:w="4104"/>
            <w:tcMar>
              <w:top w:w="70" w:type="dxa"/>
              <w:start w:w="70" w:type="dxa"/>
              <w:bottom w:w="70" w:type="dxa"/>
              <w:end w:w="70" w:type="dxa"/>
            </w:tcMar>
            <w:vAlign w:val="top"/>
            <w:shd w:fill="F8FAFC"/>
          </w:tcPr>
          <w:p>
            <w:pPr>
              <w:pStyle w:val="TableCompact"/>
            </w:pPr>
            <w:r>
              <w:rPr>
                <w:sz w:val="13"/>
              </w:rPr>
              <w:t>Evitar contradicciones entre estados y transacciones.</w:t>
            </w:r>
          </w:p>
        </w:tc>
        <w:tc>
          <w:tcPr>
            <w:tcW w:type="dxa" w:w="605"/>
            <w:tcMar>
              <w:top w:w="70" w:type="dxa"/>
              <w:start w:w="70" w:type="dxa"/>
              <w:bottom w:w="70" w:type="dxa"/>
              <w:end w:w="70" w:type="dxa"/>
            </w:tcMar>
            <w:vAlign w:val="top"/>
            <w:shd w:fill="F8FAFC"/>
          </w:tcPr>
          <w:p>
            <w:pPr>
              <w:pStyle w:val="TableCompact"/>
            </w:pPr>
            <w:r>
              <w:rPr>
                <w:sz w:val="13"/>
              </w:rPr>
              <w:t>P0</w:t>
            </w:r>
          </w:p>
        </w:tc>
        <w:tc>
          <w:tcPr>
            <w:tcW w:type="dxa" w:w="461"/>
            <w:tcMar>
              <w:top w:w="70" w:type="dxa"/>
              <w:start w:w="70" w:type="dxa"/>
              <w:bottom w:w="70" w:type="dxa"/>
              <w:end w:w="70" w:type="dxa"/>
            </w:tcMar>
            <w:vAlign w:val="top"/>
            <w:shd w:fill="F8FAFC"/>
          </w:tcPr>
          <w:p>
            <w:pPr>
              <w:pStyle w:val="TableCompact"/>
            </w:pPr>
            <w:r>
              <w:rPr>
                <w:sz w:val="13"/>
              </w:rPr>
              <w:t>8</w:t>
            </w:r>
          </w:p>
        </w:tc>
      </w:tr>
      <w:tr>
        <w:trPr>
          <w:cantSplit/>
        </w:trPr>
        <w:tc>
          <w:tcPr>
            <w:tcW w:type="dxa" w:w="1037"/>
            <w:tcMar>
              <w:top w:w="70" w:type="dxa"/>
              <w:start w:w="70" w:type="dxa"/>
              <w:bottom w:w="70" w:type="dxa"/>
              <w:end w:w="70" w:type="dxa"/>
            </w:tcMar>
            <w:vAlign w:val="top"/>
          </w:tcPr>
          <w:p>
            <w:pPr>
              <w:pStyle w:val="TableCompact"/>
            </w:pPr>
            <w:r>
              <w:rPr>
                <w:sz w:val="13"/>
              </w:rPr>
              <w:t>E5 / US-50</w:t>
            </w:r>
          </w:p>
        </w:tc>
        <w:tc>
          <w:tcPr>
            <w:tcW w:type="dxa" w:w="3096"/>
            <w:tcMar>
              <w:top w:w="70" w:type="dxa"/>
              <w:start w:w="70" w:type="dxa"/>
              <w:bottom w:w="70" w:type="dxa"/>
              <w:end w:w="70" w:type="dxa"/>
            </w:tcMar>
            <w:vAlign w:val="top"/>
          </w:tcPr>
          <w:p>
            <w:pPr>
              <w:pStyle w:val="TableCompact"/>
            </w:pPr>
            <w:r>
              <w:rPr>
                <w:sz w:val="13"/>
              </w:rPr>
              <w:t>Permisos y auditoría</w:t>
            </w:r>
          </w:p>
        </w:tc>
        <w:tc>
          <w:tcPr>
            <w:tcW w:type="dxa" w:w="4104"/>
            <w:tcMar>
              <w:top w:w="70" w:type="dxa"/>
              <w:start w:w="70" w:type="dxa"/>
              <w:bottom w:w="70" w:type="dxa"/>
              <w:end w:w="70" w:type="dxa"/>
            </w:tcMar>
            <w:vAlign w:val="top"/>
          </w:tcPr>
          <w:p>
            <w:pPr>
              <w:pStyle w:val="TableCompact"/>
            </w:pPr>
            <w:r>
              <w:rPr>
                <w:sz w:val="13"/>
              </w:rPr>
              <w:t>Registrar quién modificó cantidades, documentos y estados.</w:t>
            </w:r>
          </w:p>
        </w:tc>
        <w:tc>
          <w:tcPr>
            <w:tcW w:type="dxa" w:w="605"/>
            <w:tcMar>
              <w:top w:w="70" w:type="dxa"/>
              <w:start w:w="70" w:type="dxa"/>
              <w:bottom w:w="70" w:type="dxa"/>
              <w:end w:w="70" w:type="dxa"/>
            </w:tcMar>
            <w:vAlign w:val="top"/>
          </w:tcPr>
          <w:p>
            <w:pPr>
              <w:pStyle w:val="TableCompact"/>
            </w:pPr>
            <w:r>
              <w:rPr>
                <w:sz w:val="13"/>
              </w:rPr>
              <w:t>P0</w:t>
            </w:r>
          </w:p>
        </w:tc>
        <w:tc>
          <w:tcPr>
            <w:tcW w:type="dxa" w:w="461"/>
            <w:tcMar>
              <w:top w:w="70" w:type="dxa"/>
              <w:start w:w="70" w:type="dxa"/>
              <w:bottom w:w="70" w:type="dxa"/>
              <w:end w:w="70" w:type="dxa"/>
            </w:tcMar>
            <w:vAlign w:val="top"/>
          </w:tcPr>
          <w:p>
            <w:pPr>
              <w:pStyle w:val="TableCompact"/>
            </w:pPr>
            <w:r>
              <w:rPr>
                <w:sz w:val="13"/>
              </w:rPr>
              <w:t>5</w:t>
            </w:r>
          </w:p>
        </w:tc>
      </w:tr>
      <w:tr>
        <w:trPr>
          <w:cantSplit/>
        </w:trPr>
        <w:tc>
          <w:tcPr>
            <w:tcW w:type="dxa" w:w="1037"/>
            <w:tcMar>
              <w:top w:w="70" w:type="dxa"/>
              <w:start w:w="70" w:type="dxa"/>
              <w:bottom w:w="70" w:type="dxa"/>
              <w:end w:w="70" w:type="dxa"/>
            </w:tcMar>
            <w:vAlign w:val="top"/>
            <w:shd w:fill="F8FAFC"/>
          </w:tcPr>
          <w:p>
            <w:pPr>
              <w:pStyle w:val="TableCompact"/>
            </w:pPr>
            <w:r>
              <w:rPr>
                <w:sz w:val="13"/>
              </w:rPr>
              <w:t>E5 / US-51</w:t>
            </w:r>
          </w:p>
        </w:tc>
        <w:tc>
          <w:tcPr>
            <w:tcW w:type="dxa" w:w="3096"/>
            <w:tcMar>
              <w:top w:w="70" w:type="dxa"/>
              <w:start w:w="70" w:type="dxa"/>
              <w:bottom w:w="70" w:type="dxa"/>
              <w:end w:w="70" w:type="dxa"/>
            </w:tcMar>
            <w:vAlign w:val="top"/>
            <w:shd w:fill="F8FAFC"/>
          </w:tcPr>
          <w:p>
            <w:pPr>
              <w:pStyle w:val="TableCompact"/>
            </w:pPr>
            <w:r>
              <w:rPr>
                <w:sz w:val="13"/>
              </w:rPr>
              <w:t>Filtros y seguimiento consolidado</w:t>
            </w:r>
          </w:p>
        </w:tc>
        <w:tc>
          <w:tcPr>
            <w:tcW w:type="dxa" w:w="4104"/>
            <w:tcMar>
              <w:top w:w="70" w:type="dxa"/>
              <w:start w:w="70" w:type="dxa"/>
              <w:bottom w:w="70" w:type="dxa"/>
              <w:end w:w="70" w:type="dxa"/>
            </w:tcMar>
            <w:vAlign w:val="top"/>
            <w:shd w:fill="F8FAFC"/>
          </w:tcPr>
          <w:p>
            <w:pPr>
              <w:pStyle w:val="TableCompact"/>
            </w:pPr>
            <w:r>
              <w:rPr>
                <w:sz w:val="13"/>
              </w:rPr>
              <w:t>Filtrar por cliente, vendedor, entrega, factura y pago.</w:t>
            </w:r>
          </w:p>
        </w:tc>
        <w:tc>
          <w:tcPr>
            <w:tcW w:type="dxa" w:w="605"/>
            <w:tcMar>
              <w:top w:w="70" w:type="dxa"/>
              <w:start w:w="70" w:type="dxa"/>
              <w:bottom w:w="70" w:type="dxa"/>
              <w:end w:w="70" w:type="dxa"/>
            </w:tcMar>
            <w:vAlign w:val="top"/>
            <w:shd w:fill="F8FAFC"/>
          </w:tcPr>
          <w:p>
            <w:pPr>
              <w:pStyle w:val="TableCompact"/>
            </w:pPr>
            <w:r>
              <w:rPr>
                <w:sz w:val="13"/>
              </w:rPr>
              <w:t>P1</w:t>
            </w:r>
          </w:p>
        </w:tc>
        <w:tc>
          <w:tcPr>
            <w:tcW w:type="dxa" w:w="461"/>
            <w:tcMar>
              <w:top w:w="70" w:type="dxa"/>
              <w:start w:w="70" w:type="dxa"/>
              <w:bottom w:w="70" w:type="dxa"/>
              <w:end w:w="70" w:type="dxa"/>
            </w:tcMar>
            <w:vAlign w:val="top"/>
            <w:shd w:fill="F8FAFC"/>
          </w:tcPr>
          <w:p>
            <w:pPr>
              <w:pStyle w:val="TableCompact"/>
            </w:pPr>
            <w:r>
              <w:rPr>
                <w:sz w:val="13"/>
              </w:rPr>
              <w:t>5</w:t>
            </w:r>
          </w:p>
        </w:tc>
      </w:tr>
      <w:tr>
        <w:trPr>
          <w:cantSplit/>
        </w:trPr>
        <w:tc>
          <w:tcPr>
            <w:tcW w:type="dxa" w:w="1037"/>
            <w:tcMar>
              <w:top w:w="70" w:type="dxa"/>
              <w:start w:w="70" w:type="dxa"/>
              <w:bottom w:w="70" w:type="dxa"/>
              <w:end w:w="70" w:type="dxa"/>
            </w:tcMar>
            <w:vAlign w:val="top"/>
          </w:tcPr>
          <w:p>
            <w:pPr>
              <w:pStyle w:val="TableCompact"/>
            </w:pPr>
            <w:r>
              <w:rPr>
                <w:sz w:val="13"/>
              </w:rPr>
              <w:t>E6 / US-60</w:t>
            </w:r>
          </w:p>
        </w:tc>
        <w:tc>
          <w:tcPr>
            <w:tcW w:type="dxa" w:w="3096"/>
            <w:tcMar>
              <w:top w:w="70" w:type="dxa"/>
              <w:start w:w="70" w:type="dxa"/>
              <w:bottom w:w="70" w:type="dxa"/>
              <w:end w:w="70" w:type="dxa"/>
            </w:tcMar>
            <w:vAlign w:val="top"/>
          </w:tcPr>
          <w:p>
            <w:pPr>
              <w:pStyle w:val="TableCompact"/>
            </w:pPr>
            <w:r>
              <w:rPr>
                <w:sz w:val="13"/>
              </w:rPr>
              <w:t>Pruebas end-to-end y regresión</w:t>
            </w:r>
          </w:p>
        </w:tc>
        <w:tc>
          <w:tcPr>
            <w:tcW w:type="dxa" w:w="4104"/>
            <w:tcMar>
              <w:top w:w="70" w:type="dxa"/>
              <w:start w:w="70" w:type="dxa"/>
              <w:bottom w:w="70" w:type="dxa"/>
              <w:end w:w="70" w:type="dxa"/>
            </w:tcMar>
            <w:vAlign w:val="top"/>
          </w:tcPr>
          <w:p>
            <w:pPr>
              <w:pStyle w:val="TableCompact"/>
            </w:pPr>
            <w:r>
              <w:rPr>
                <w:sz w:val="13"/>
              </w:rPr>
              <w:t>Liberar sin afectar cotizaciones, reservas, remisiones o CxC.</w:t>
            </w:r>
          </w:p>
        </w:tc>
        <w:tc>
          <w:tcPr>
            <w:tcW w:type="dxa" w:w="605"/>
            <w:tcMar>
              <w:top w:w="70" w:type="dxa"/>
              <w:start w:w="70" w:type="dxa"/>
              <w:bottom w:w="70" w:type="dxa"/>
              <w:end w:w="70" w:type="dxa"/>
            </w:tcMar>
            <w:vAlign w:val="top"/>
          </w:tcPr>
          <w:p>
            <w:pPr>
              <w:pStyle w:val="TableCompact"/>
            </w:pPr>
            <w:r>
              <w:rPr>
                <w:sz w:val="13"/>
              </w:rPr>
              <w:t>P0</w:t>
            </w:r>
          </w:p>
        </w:tc>
        <w:tc>
          <w:tcPr>
            <w:tcW w:type="dxa" w:w="461"/>
            <w:tcMar>
              <w:top w:w="70" w:type="dxa"/>
              <w:start w:w="70" w:type="dxa"/>
              <w:bottom w:w="70" w:type="dxa"/>
              <w:end w:w="70" w:type="dxa"/>
            </w:tcMar>
            <w:vAlign w:val="top"/>
          </w:tcPr>
          <w:p>
            <w:pPr>
              <w:pStyle w:val="TableCompact"/>
            </w:pPr>
            <w:r>
              <w:rPr>
                <w:sz w:val="13"/>
              </w:rPr>
              <w:t>8</w:t>
            </w:r>
          </w:p>
        </w:tc>
      </w:tr>
      <w:tr>
        <w:trPr>
          <w:cantSplit/>
        </w:trPr>
        <w:tc>
          <w:tcPr>
            <w:tcW w:type="dxa" w:w="1037"/>
            <w:tcMar>
              <w:top w:w="70" w:type="dxa"/>
              <w:start w:w="70" w:type="dxa"/>
              <w:bottom w:w="70" w:type="dxa"/>
              <w:end w:w="70" w:type="dxa"/>
            </w:tcMar>
            <w:vAlign w:val="top"/>
            <w:shd w:fill="F8FAFC"/>
          </w:tcPr>
          <w:p>
            <w:pPr>
              <w:pStyle w:val="TableCompact"/>
            </w:pPr>
            <w:r>
              <w:rPr>
                <w:sz w:val="13"/>
              </w:rPr>
              <w:t>E6 / US-61</w:t>
            </w:r>
          </w:p>
        </w:tc>
        <w:tc>
          <w:tcPr>
            <w:tcW w:type="dxa" w:w="3096"/>
            <w:tcMar>
              <w:top w:w="70" w:type="dxa"/>
              <w:start w:w="70" w:type="dxa"/>
              <w:bottom w:w="70" w:type="dxa"/>
              <w:end w:w="70" w:type="dxa"/>
            </w:tcMar>
            <w:vAlign w:val="top"/>
            <w:shd w:fill="F8FAFC"/>
          </w:tcPr>
          <w:p>
            <w:pPr>
              <w:pStyle w:val="TableCompact"/>
            </w:pPr>
            <w:r>
              <w:rPr>
                <w:sz w:val="13"/>
              </w:rPr>
              <w:t>Eliminar legacy y optimizar KPI</w:t>
            </w:r>
          </w:p>
        </w:tc>
        <w:tc>
          <w:tcPr>
            <w:tcW w:type="dxa" w:w="4104"/>
            <w:tcMar>
              <w:top w:w="70" w:type="dxa"/>
              <w:start w:w="70" w:type="dxa"/>
              <w:bottom w:w="70" w:type="dxa"/>
              <w:end w:w="70" w:type="dxa"/>
            </w:tcMar>
            <w:vAlign w:val="top"/>
            <w:shd w:fill="F8FAFC"/>
          </w:tcPr>
          <w:p>
            <w:pPr>
              <w:pStyle w:val="TableCompact"/>
            </w:pPr>
            <w:r>
              <w:rPr>
                <w:sz w:val="13"/>
              </w:rPr>
              <w:t>Reducir deuda y evitar cargas completas de catálogo.</w:t>
            </w:r>
          </w:p>
        </w:tc>
        <w:tc>
          <w:tcPr>
            <w:tcW w:type="dxa" w:w="605"/>
            <w:tcMar>
              <w:top w:w="70" w:type="dxa"/>
              <w:start w:w="70" w:type="dxa"/>
              <w:bottom w:w="70" w:type="dxa"/>
              <w:end w:w="70" w:type="dxa"/>
            </w:tcMar>
            <w:vAlign w:val="top"/>
            <w:shd w:fill="F8FAFC"/>
          </w:tcPr>
          <w:p>
            <w:pPr>
              <w:pStyle w:val="TableCompact"/>
            </w:pPr>
            <w:r>
              <w:rPr>
                <w:sz w:val="13"/>
              </w:rPr>
              <w:t>P1</w:t>
            </w:r>
          </w:p>
        </w:tc>
        <w:tc>
          <w:tcPr>
            <w:tcW w:type="dxa" w:w="461"/>
            <w:tcMar>
              <w:top w:w="70" w:type="dxa"/>
              <w:start w:w="70" w:type="dxa"/>
              <w:bottom w:w="70" w:type="dxa"/>
              <w:end w:w="70" w:type="dxa"/>
            </w:tcMar>
            <w:vAlign w:val="top"/>
            <w:shd w:fill="F8FAFC"/>
          </w:tcPr>
          <w:p>
            <w:pPr>
              <w:pStyle w:val="TableCompact"/>
            </w:pPr>
            <w:r>
              <w:rPr>
                <w:sz w:val="13"/>
              </w:rPr>
              <w:t>5</w:t>
            </w:r>
          </w:p>
        </w:tc>
      </w:tr>
    </w:tbl>
    <w:p>
      <w:pPr>
        <w:spacing w:after="0"/>
      </w:pPr>
    </w:p>
    <w:p>
      <w:pPr>
        <w:pStyle w:val="Heading1"/>
      </w:pPr>
      <w:r>
        <w:t>10. Criterios de aceptación por épica</w:t>
      </w:r>
    </w:p>
    <w:p>
      <w:pPr>
        <w:pStyle w:val="Heading2"/>
      </w:pPr>
      <w:r>
        <w:t>E0. Descubrimiento, reglas y arquitectura</w:t>
      </w:r>
    </w:p>
    <w:p>
      <w:pPr>
        <w:pStyle w:val="ListBullet"/>
        <w:spacing w:after="40"/>
      </w:pPr>
      <w:r>
        <w:t>Existe una matriz por requisito con evidencia: ruta UI, endpoint, modelo, prueba y brecha.</w:t>
      </w:r>
    </w:p>
    <w:p>
      <w:pPr>
        <w:pStyle w:val="ListBullet"/>
        <w:spacing w:after="40"/>
      </w:pPr>
      <w:r>
        <w:t>Los estados de cotización, remisión, entrega, facturación y pago están definidos y no se duplican.</w:t>
      </w:r>
    </w:p>
    <w:p>
      <w:pPr>
        <w:pStyle w:val="ListBullet"/>
        <w:spacing w:after="40"/>
      </w:pPr>
      <w:r>
        <w:t>Cada cambio de modelo incluye estrategia de migración, rollback e impacto multi-tenant.</w:t>
      </w:r>
    </w:p>
    <w:p>
      <w:pPr>
        <w:pStyle w:val="Heading2"/>
      </w:pPr>
      <w:r>
        <w:t>E1. Cotización → remisión</w:t>
      </w:r>
    </w:p>
    <w:p>
      <w:pPr>
        <w:pStyle w:val="ListBullet"/>
        <w:spacing w:after="40"/>
      </w:pPr>
      <w:r>
        <w:t>“Generar remisión” permanece deshabilitado hasta seleccionar al menos una partida válida.</w:t>
      </w:r>
    </w:p>
    <w:p>
      <w:pPr>
        <w:pStyle w:val="ListBullet"/>
        <w:spacing w:after="40"/>
      </w:pPr>
      <w:r>
        <w:t>La remisión conserva identificadores de origen por documento y por línea.</w:t>
      </w:r>
    </w:p>
    <w:p>
      <w:pPr>
        <w:pStyle w:val="ListBullet"/>
        <w:spacing w:after="40"/>
      </w:pPr>
      <w:r>
        <w:t>Eliminar una línea de la remisión no altera la línea de cotización.</w:t>
      </w:r>
    </w:p>
    <w:p>
      <w:pPr>
        <w:pStyle w:val="ListBullet"/>
        <w:spacing w:after="40"/>
      </w:pPr>
      <w:r>
        <w:t>La suma remitida no supera la cantidad cotizada, excepto con permiso y evento auditado.</w:t>
      </w:r>
    </w:p>
    <w:p>
      <w:pPr>
        <w:pStyle w:val="ListBullet"/>
        <w:spacing w:after="40"/>
      </w:pPr>
      <w:r>
        <w:t>Los pendientes se recalculan transaccionalmente ante emisión, cancelación o ajuste.</w:t>
      </w:r>
    </w:p>
    <w:p>
      <w:pPr>
        <w:pStyle w:val="ListBullet"/>
        <w:spacing w:after="40"/>
      </w:pPr>
      <w:r>
        <w:t>Dos usuarios no pueden consumir simultáneamente la misma cantidad sin control de concurrencia.</w:t>
      </w:r>
    </w:p>
    <w:p>
      <w:pPr>
        <w:pStyle w:val="ListBullet"/>
        <w:spacing w:after="40"/>
      </w:pPr>
      <w:r>
        <w:t>El folio se genera en backend y es único por tenant.</w:t>
      </w:r>
    </w:p>
    <w:p>
      <w:pPr>
        <w:pStyle w:val="Heading2"/>
      </w:pPr>
      <w:r>
        <w:t>E2–E3. Editor, PDF, firma y documentos relacionados</w:t>
      </w:r>
    </w:p>
    <w:p>
      <w:pPr>
        <w:pStyle w:val="ListBullet"/>
        <w:spacing w:after="40"/>
      </w:pPr>
      <w:r>
        <w:t>El encabezado, breadcrumbs, acciones y PDF dicen “Remisión”, no “Cotización”.</w:t>
      </w:r>
    </w:p>
    <w:p>
      <w:pPr>
        <w:pStyle w:val="ListBullet"/>
        <w:spacing w:after="40"/>
      </w:pPr>
      <w:r>
        <w:t>La unidad de medida se presenta en la columna aprobada por DASIC.</w:t>
      </w:r>
    </w:p>
    <w:p>
      <w:pPr>
        <w:pStyle w:val="ListBullet"/>
        <w:spacing w:after="40"/>
      </w:pPr>
      <w:r>
        <w:t>Precios, subtotales e impuestos se muestran u ocultan mediante configuración.</w:t>
      </w:r>
    </w:p>
    <w:p>
      <w:pPr>
        <w:pStyle w:val="ListBullet"/>
        <w:spacing w:after="40"/>
      </w:pPr>
      <w:r>
        <w:t>Los campos logísticos editables y los comerciales controlados están diferenciados.</w:t>
      </w:r>
    </w:p>
    <w:p>
      <w:pPr>
        <w:pStyle w:val="ListBullet"/>
        <w:spacing w:after="40"/>
      </w:pPr>
      <w:r>
        <w:t>El autorizado queda persistido y se muestra bajo la línea de firma.</w:t>
      </w:r>
    </w:p>
    <w:p>
      <w:pPr>
        <w:pStyle w:val="ListBullet"/>
        <w:spacing w:after="40"/>
      </w:pPr>
      <w:r>
        <w:t>Documentos relacionados admite texto multilínea y la sección se oculta si está vacía.</w:t>
      </w:r>
    </w:p>
    <w:p>
      <w:pPr>
        <w:pStyle w:val="ListBullet"/>
        <w:spacing w:after="40"/>
      </w:pPr>
      <w:r>
        <w:t>La vista previa coincide con el PDF final y soporta múltiples páginas y entregas parciales.</w:t>
      </w:r>
    </w:p>
    <w:p>
      <w:pPr>
        <w:pStyle w:val="Heading2"/>
      </w:pPr>
      <w:r>
        <w:t>E4. Facturación, pago y CxC</w:t>
      </w:r>
    </w:p>
    <w:p>
      <w:pPr>
        <w:pStyle w:val="ListBullet"/>
        <w:spacing w:after="40"/>
      </w:pPr>
      <w:r>
        <w:t>Facturado y pagado son estados independientes.</w:t>
      </w:r>
    </w:p>
    <w:p>
      <w:pPr>
        <w:pStyle w:val="ListBullet"/>
        <w:spacing w:after="40"/>
      </w:pPr>
      <w:r>
        <w:t>Al marcar facturado se exige referencia de factura de ingreso con validación básica.</w:t>
      </w:r>
    </w:p>
    <w:p>
      <w:pPr>
        <w:pStyle w:val="ListBullet"/>
        <w:spacing w:after="40"/>
      </w:pPr>
      <w:r>
        <w:t>Al registrar pago se conserva fecha, monto o transacción CxC y, cuando aplique, referencia del complemento.</w:t>
      </w:r>
    </w:p>
    <w:p>
      <w:pPr>
        <w:pStyle w:val="ListBullet"/>
        <w:spacing w:after="40"/>
      </w:pPr>
      <w:r>
        <w:t>Los pagos parciales no marcan automáticamente la operación como pagada en su totalidad.</w:t>
      </w:r>
    </w:p>
    <w:p>
      <w:pPr>
        <w:pStyle w:val="ListBullet"/>
        <w:spacing w:after="40"/>
      </w:pPr>
      <w:r>
        <w:t>No se permite un estado pagado que contradiga el saldo de CxC, salvo excepción documentada.</w:t>
      </w:r>
    </w:p>
    <w:p>
      <w:pPr>
        <w:pStyle w:val="Heading2"/>
      </w:pPr>
      <w:r>
        <w:t>E5–E6. Seguridad, calidad y operación</w:t>
      </w:r>
    </w:p>
    <w:p>
      <w:pPr>
        <w:pStyle w:val="ListBullet"/>
        <w:spacing w:after="40"/>
      </w:pPr>
      <w:r>
        <w:t>Toda mutación sensible genera evento con usuario, fecha, valor anterior y valor nuevo.</w:t>
      </w:r>
    </w:p>
    <w:p>
      <w:pPr>
        <w:pStyle w:val="ListBullet"/>
        <w:spacing w:after="40"/>
      </w:pPr>
      <w:r>
        <w:t>Los permisos separan edición comercial, almacén, facturación y cobranza.</w:t>
      </w:r>
    </w:p>
    <w:p>
      <w:pPr>
        <w:pStyle w:val="ListBullet"/>
        <w:spacing w:after="40"/>
      </w:pPr>
      <w:r>
        <w:t>Se cubren entrega parcial, cancelación, reemisión, concurrencia y rollback.</w:t>
      </w:r>
    </w:p>
    <w:p>
      <w:pPr>
        <w:pStyle w:val="ListBullet"/>
        <w:spacing w:after="40"/>
      </w:pPr>
      <w:r>
        <w:t>El endpoint legacy de KPIs deja de cargar el catálogo completo.</w:t>
      </w:r>
    </w:p>
    <w:p>
      <w:pPr>
        <w:pStyle w:val="ListBullet"/>
        <w:spacing w:after="40"/>
      </w:pPr>
      <w:r>
        <w:t>El editor anterior se elimina únicamente después de verificar ausencia de rutas activas.</w:t>
      </w:r>
    </w:p>
    <w:p>
      <w:pPr>
        <w:pStyle w:val="Heading1"/>
      </w:pPr>
      <w:r>
        <w:t>11. Casos UAT mínimos</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037"/>
            <w:shd w:fill="102A43"/>
            <w:tcMar>
              <w:top w:w="85" w:type="dxa"/>
              <w:start w:w="80" w:type="dxa"/>
              <w:bottom w:w="85" w:type="dxa"/>
              <w:end w:w="80" w:type="dxa"/>
            </w:tcMar>
            <w:vAlign w:val="center"/>
          </w:tcPr>
          <w:p>
            <w:r>
              <w:rPr>
                <w:b/>
                <w:color w:val="FFFFFF"/>
                <w:sz w:val="14"/>
              </w:rPr>
              <w:t>Caso</w:t>
            </w:r>
          </w:p>
        </w:tc>
        <w:tc>
          <w:tcPr>
            <w:tcW w:type="dxa" w:w="3960"/>
            <w:shd w:fill="102A43"/>
            <w:tcMar>
              <w:top w:w="85" w:type="dxa"/>
              <w:start w:w="80" w:type="dxa"/>
              <w:bottom w:w="85" w:type="dxa"/>
              <w:end w:w="80" w:type="dxa"/>
            </w:tcMar>
            <w:vAlign w:val="center"/>
          </w:tcPr>
          <w:p>
            <w:r>
              <w:rPr>
                <w:b/>
                <w:color w:val="FFFFFF"/>
                <w:sz w:val="14"/>
              </w:rPr>
              <w:t>Escenario</w:t>
            </w:r>
          </w:p>
        </w:tc>
        <w:tc>
          <w:tcPr>
            <w:tcW w:type="dxa" w:w="4349"/>
            <w:shd w:fill="102A43"/>
            <w:tcMar>
              <w:top w:w="85" w:type="dxa"/>
              <w:start w:w="80" w:type="dxa"/>
              <w:bottom w:w="85" w:type="dxa"/>
              <w:end w:w="80" w:type="dxa"/>
            </w:tcMar>
            <w:vAlign w:val="center"/>
          </w:tcPr>
          <w:p>
            <w:r>
              <w:rPr>
                <w:b/>
                <w:color w:val="FFFFFF"/>
                <w:sz w:val="14"/>
              </w:rPr>
              <w:t>Resultado esperado</w:t>
            </w:r>
          </w:p>
        </w:tc>
      </w:tr>
      <w:tr>
        <w:trPr>
          <w:cantSplit/>
        </w:trPr>
        <w:tc>
          <w:tcPr>
            <w:tcW w:type="dxa" w:w="1037"/>
            <w:tcMar>
              <w:top w:w="70" w:type="dxa"/>
              <w:start w:w="70" w:type="dxa"/>
              <w:bottom w:w="70" w:type="dxa"/>
              <w:end w:w="70" w:type="dxa"/>
            </w:tcMar>
            <w:vAlign w:val="top"/>
          </w:tcPr>
          <w:p>
            <w:pPr>
              <w:pStyle w:val="TableCompact"/>
            </w:pPr>
            <w:r>
              <w:rPr>
                <w:sz w:val="14"/>
              </w:rPr>
              <w:t>UAT-01</w:t>
            </w:r>
          </w:p>
        </w:tc>
        <w:tc>
          <w:tcPr>
            <w:tcW w:type="dxa" w:w="3960"/>
            <w:tcMar>
              <w:top w:w="70" w:type="dxa"/>
              <w:start w:w="70" w:type="dxa"/>
              <w:bottom w:w="70" w:type="dxa"/>
              <w:end w:w="70" w:type="dxa"/>
            </w:tcMar>
            <w:vAlign w:val="top"/>
          </w:tcPr>
          <w:p>
            <w:pPr>
              <w:pStyle w:val="TableCompact"/>
            </w:pPr>
            <w:r>
              <w:rPr>
                <w:sz w:val="14"/>
              </w:rPr>
              <w:t>Cotización con 5 líneas; seleccionar 3 y generar remisión.</w:t>
            </w:r>
          </w:p>
        </w:tc>
        <w:tc>
          <w:tcPr>
            <w:tcW w:type="dxa" w:w="4349"/>
            <w:tcMar>
              <w:top w:w="70" w:type="dxa"/>
              <w:start w:w="70" w:type="dxa"/>
              <w:bottom w:w="70" w:type="dxa"/>
              <w:end w:w="70" w:type="dxa"/>
            </w:tcMar>
            <w:vAlign w:val="top"/>
          </w:tcPr>
          <w:p>
            <w:pPr>
              <w:pStyle w:val="TableCompact"/>
            </w:pPr>
            <w:r>
              <w:rPr>
                <w:sz w:val="14"/>
              </w:rPr>
              <w:t>Se crea remisión con 3 líneas y la cotización conserva 5.</w:t>
            </w:r>
          </w:p>
        </w:tc>
      </w:tr>
      <w:tr>
        <w:trPr>
          <w:cantSplit/>
        </w:trPr>
        <w:tc>
          <w:tcPr>
            <w:tcW w:type="dxa" w:w="1037"/>
            <w:tcMar>
              <w:top w:w="70" w:type="dxa"/>
              <w:start w:w="70" w:type="dxa"/>
              <w:bottom w:w="70" w:type="dxa"/>
              <w:end w:w="70" w:type="dxa"/>
            </w:tcMar>
            <w:vAlign w:val="top"/>
            <w:shd w:fill="F8FAFC"/>
          </w:tcPr>
          <w:p>
            <w:pPr>
              <w:pStyle w:val="TableCompact"/>
            </w:pPr>
            <w:r>
              <w:rPr>
                <w:sz w:val="14"/>
              </w:rPr>
              <w:t>UAT-02</w:t>
            </w:r>
          </w:p>
        </w:tc>
        <w:tc>
          <w:tcPr>
            <w:tcW w:type="dxa" w:w="3960"/>
            <w:tcMar>
              <w:top w:w="70" w:type="dxa"/>
              <w:start w:w="70" w:type="dxa"/>
              <w:bottom w:w="70" w:type="dxa"/>
              <w:end w:w="70" w:type="dxa"/>
            </w:tcMar>
            <w:vAlign w:val="top"/>
            <w:shd w:fill="F8FAFC"/>
          </w:tcPr>
          <w:p>
            <w:pPr>
              <w:pStyle w:val="TableCompact"/>
            </w:pPr>
            <w:r>
              <w:rPr>
                <w:sz w:val="14"/>
              </w:rPr>
              <w:t>Remitir parcialmente 4 de 10 unidades.</w:t>
            </w:r>
          </w:p>
        </w:tc>
        <w:tc>
          <w:tcPr>
            <w:tcW w:type="dxa" w:w="4349"/>
            <w:tcMar>
              <w:top w:w="70" w:type="dxa"/>
              <w:start w:w="70" w:type="dxa"/>
              <w:bottom w:w="70" w:type="dxa"/>
              <w:end w:w="70" w:type="dxa"/>
            </w:tcMar>
            <w:vAlign w:val="top"/>
            <w:shd w:fill="F8FAFC"/>
          </w:tcPr>
          <w:p>
            <w:pPr>
              <w:pStyle w:val="TableCompact"/>
            </w:pPr>
            <w:r>
              <w:rPr>
                <w:sz w:val="14"/>
              </w:rPr>
              <w:t>Quedan 6 pendientes y se visualiza el historial.</w:t>
            </w:r>
          </w:p>
        </w:tc>
      </w:tr>
      <w:tr>
        <w:trPr>
          <w:cantSplit/>
        </w:trPr>
        <w:tc>
          <w:tcPr>
            <w:tcW w:type="dxa" w:w="1037"/>
            <w:tcMar>
              <w:top w:w="70" w:type="dxa"/>
              <w:start w:w="70" w:type="dxa"/>
              <w:bottom w:w="70" w:type="dxa"/>
              <w:end w:w="70" w:type="dxa"/>
            </w:tcMar>
            <w:vAlign w:val="top"/>
          </w:tcPr>
          <w:p>
            <w:pPr>
              <w:pStyle w:val="TableCompact"/>
            </w:pPr>
            <w:r>
              <w:rPr>
                <w:sz w:val="14"/>
              </w:rPr>
              <w:t>UAT-03</w:t>
            </w:r>
          </w:p>
        </w:tc>
        <w:tc>
          <w:tcPr>
            <w:tcW w:type="dxa" w:w="3960"/>
            <w:tcMar>
              <w:top w:w="70" w:type="dxa"/>
              <w:start w:w="70" w:type="dxa"/>
              <w:bottom w:w="70" w:type="dxa"/>
              <w:end w:w="70" w:type="dxa"/>
            </w:tcMar>
            <w:vAlign w:val="top"/>
          </w:tcPr>
          <w:p>
            <w:pPr>
              <w:pStyle w:val="TableCompact"/>
            </w:pPr>
            <w:r>
              <w:rPr>
                <w:sz w:val="14"/>
              </w:rPr>
              <w:t>Crear segunda remisión por el saldo.</w:t>
            </w:r>
          </w:p>
        </w:tc>
        <w:tc>
          <w:tcPr>
            <w:tcW w:type="dxa" w:w="4349"/>
            <w:tcMar>
              <w:top w:w="70" w:type="dxa"/>
              <w:start w:w="70" w:type="dxa"/>
              <w:bottom w:w="70" w:type="dxa"/>
              <w:end w:w="70" w:type="dxa"/>
            </w:tcMar>
            <w:vAlign w:val="top"/>
          </w:tcPr>
          <w:p>
            <w:pPr>
              <w:pStyle w:val="TableCompact"/>
            </w:pPr>
            <w:r>
              <w:rPr>
                <w:sz w:val="14"/>
              </w:rPr>
              <w:t>No permite exceder 6; al completar queda pendiente 0.</w:t>
            </w:r>
          </w:p>
        </w:tc>
      </w:tr>
      <w:tr>
        <w:trPr>
          <w:cantSplit/>
        </w:trPr>
        <w:tc>
          <w:tcPr>
            <w:tcW w:type="dxa" w:w="1037"/>
            <w:tcMar>
              <w:top w:w="70" w:type="dxa"/>
              <w:start w:w="70" w:type="dxa"/>
              <w:bottom w:w="70" w:type="dxa"/>
              <w:end w:w="70" w:type="dxa"/>
            </w:tcMar>
            <w:vAlign w:val="top"/>
            <w:shd w:fill="F8FAFC"/>
          </w:tcPr>
          <w:p>
            <w:pPr>
              <w:pStyle w:val="TableCompact"/>
            </w:pPr>
            <w:r>
              <w:rPr>
                <w:sz w:val="14"/>
              </w:rPr>
              <w:t>UAT-04</w:t>
            </w:r>
          </w:p>
        </w:tc>
        <w:tc>
          <w:tcPr>
            <w:tcW w:type="dxa" w:w="3960"/>
            <w:tcMar>
              <w:top w:w="70" w:type="dxa"/>
              <w:start w:w="70" w:type="dxa"/>
              <w:bottom w:w="70" w:type="dxa"/>
              <w:end w:w="70" w:type="dxa"/>
            </w:tcMar>
            <w:vAlign w:val="top"/>
            <w:shd w:fill="F8FAFC"/>
          </w:tcPr>
          <w:p>
            <w:pPr>
              <w:pStyle w:val="TableCompact"/>
            </w:pPr>
            <w:r>
              <w:rPr>
                <w:sz w:val="14"/>
              </w:rPr>
              <w:t>Cancelar una remisión emitida.</w:t>
            </w:r>
          </w:p>
        </w:tc>
        <w:tc>
          <w:tcPr>
            <w:tcW w:type="dxa" w:w="4349"/>
            <w:tcMar>
              <w:top w:w="70" w:type="dxa"/>
              <w:start w:w="70" w:type="dxa"/>
              <w:bottom w:w="70" w:type="dxa"/>
              <w:end w:w="70" w:type="dxa"/>
            </w:tcMar>
            <w:vAlign w:val="top"/>
            <w:shd w:fill="F8FAFC"/>
          </w:tcPr>
          <w:p>
            <w:pPr>
              <w:pStyle w:val="TableCompact"/>
            </w:pPr>
            <w:r>
              <w:rPr>
                <w:sz w:val="14"/>
              </w:rPr>
              <w:t>Se restauran cantidades conforme a la regla y queda evento.</w:t>
            </w:r>
          </w:p>
        </w:tc>
      </w:tr>
      <w:tr>
        <w:trPr>
          <w:cantSplit/>
        </w:trPr>
        <w:tc>
          <w:tcPr>
            <w:tcW w:type="dxa" w:w="1037"/>
            <w:tcMar>
              <w:top w:w="70" w:type="dxa"/>
              <w:start w:w="70" w:type="dxa"/>
              <w:bottom w:w="70" w:type="dxa"/>
              <w:end w:w="70" w:type="dxa"/>
            </w:tcMar>
            <w:vAlign w:val="top"/>
          </w:tcPr>
          <w:p>
            <w:pPr>
              <w:pStyle w:val="TableCompact"/>
            </w:pPr>
            <w:r>
              <w:rPr>
                <w:sz w:val="14"/>
              </w:rPr>
              <w:t>UAT-05</w:t>
            </w:r>
          </w:p>
        </w:tc>
        <w:tc>
          <w:tcPr>
            <w:tcW w:type="dxa" w:w="3960"/>
            <w:tcMar>
              <w:top w:w="70" w:type="dxa"/>
              <w:start w:w="70" w:type="dxa"/>
              <w:bottom w:w="70" w:type="dxa"/>
              <w:end w:w="70" w:type="dxa"/>
            </w:tcMar>
            <w:vAlign w:val="top"/>
          </w:tcPr>
          <w:p>
            <w:pPr>
              <w:pStyle w:val="TableCompact"/>
            </w:pPr>
            <w:r>
              <w:rPr>
                <w:sz w:val="14"/>
              </w:rPr>
              <w:t>Dos usuarios intentan remitir el mismo saldo.</w:t>
            </w:r>
          </w:p>
        </w:tc>
        <w:tc>
          <w:tcPr>
            <w:tcW w:type="dxa" w:w="4349"/>
            <w:tcMar>
              <w:top w:w="70" w:type="dxa"/>
              <w:start w:w="70" w:type="dxa"/>
              <w:bottom w:w="70" w:type="dxa"/>
              <w:end w:w="70" w:type="dxa"/>
            </w:tcMar>
            <w:vAlign w:val="top"/>
          </w:tcPr>
          <w:p>
            <w:pPr>
              <w:pStyle w:val="TableCompact"/>
            </w:pPr>
            <w:r>
              <w:rPr>
                <w:sz w:val="14"/>
              </w:rPr>
              <w:t>Solo una operación confirma; la otra recibe conflicto recuperable.</w:t>
            </w:r>
          </w:p>
        </w:tc>
      </w:tr>
      <w:tr>
        <w:trPr>
          <w:cantSplit/>
        </w:trPr>
        <w:tc>
          <w:tcPr>
            <w:tcW w:type="dxa" w:w="1037"/>
            <w:tcMar>
              <w:top w:w="70" w:type="dxa"/>
              <w:start w:w="70" w:type="dxa"/>
              <w:bottom w:w="70" w:type="dxa"/>
              <w:end w:w="70" w:type="dxa"/>
            </w:tcMar>
            <w:vAlign w:val="top"/>
            <w:shd w:fill="F8FAFC"/>
          </w:tcPr>
          <w:p>
            <w:pPr>
              <w:pStyle w:val="TableCompact"/>
            </w:pPr>
            <w:r>
              <w:rPr>
                <w:sz w:val="14"/>
              </w:rPr>
              <w:t>UAT-06</w:t>
            </w:r>
          </w:p>
        </w:tc>
        <w:tc>
          <w:tcPr>
            <w:tcW w:type="dxa" w:w="3960"/>
            <w:tcMar>
              <w:top w:w="70" w:type="dxa"/>
              <w:start w:w="70" w:type="dxa"/>
              <w:bottom w:w="70" w:type="dxa"/>
              <w:end w:w="70" w:type="dxa"/>
            </w:tcMar>
            <w:vAlign w:val="top"/>
            <w:shd w:fill="F8FAFC"/>
          </w:tcPr>
          <w:p>
            <w:pPr>
              <w:pStyle w:val="TableCompact"/>
            </w:pPr>
            <w:r>
              <w:rPr>
                <w:sz w:val="14"/>
              </w:rPr>
              <w:t>Editar descripción logística y autorizado.</w:t>
            </w:r>
          </w:p>
        </w:tc>
        <w:tc>
          <w:tcPr>
            <w:tcW w:type="dxa" w:w="4349"/>
            <w:tcMar>
              <w:top w:w="70" w:type="dxa"/>
              <w:start w:w="70" w:type="dxa"/>
              <w:bottom w:w="70" w:type="dxa"/>
              <w:end w:w="70" w:type="dxa"/>
            </w:tcMar>
            <w:vAlign w:val="top"/>
            <w:shd w:fill="F8FAFC"/>
          </w:tcPr>
          <w:p>
            <w:pPr>
              <w:pStyle w:val="TableCompact"/>
            </w:pPr>
            <w:r>
              <w:rPr>
                <w:sz w:val="14"/>
              </w:rPr>
              <w:t>La cotización no cambia; el PDF refleja la remisión.</w:t>
            </w:r>
          </w:p>
        </w:tc>
      </w:tr>
      <w:tr>
        <w:trPr>
          <w:cantSplit/>
        </w:trPr>
        <w:tc>
          <w:tcPr>
            <w:tcW w:type="dxa" w:w="1037"/>
            <w:tcMar>
              <w:top w:w="70" w:type="dxa"/>
              <w:start w:w="70" w:type="dxa"/>
              <w:bottom w:w="70" w:type="dxa"/>
              <w:end w:w="70" w:type="dxa"/>
            </w:tcMar>
            <w:vAlign w:val="top"/>
          </w:tcPr>
          <w:p>
            <w:pPr>
              <w:pStyle w:val="TableCompact"/>
            </w:pPr>
            <w:r>
              <w:rPr>
                <w:sz w:val="14"/>
              </w:rPr>
              <w:t>UAT-07</w:t>
            </w:r>
          </w:p>
        </w:tc>
        <w:tc>
          <w:tcPr>
            <w:tcW w:type="dxa" w:w="3960"/>
            <w:tcMar>
              <w:top w:w="70" w:type="dxa"/>
              <w:start w:w="70" w:type="dxa"/>
              <w:bottom w:w="70" w:type="dxa"/>
              <w:end w:w="70" w:type="dxa"/>
            </w:tcMar>
            <w:vAlign w:val="top"/>
          </w:tcPr>
          <w:p>
            <w:pPr>
              <w:pStyle w:val="TableCompact"/>
            </w:pPr>
            <w:r>
              <w:rPr>
                <w:sz w:val="14"/>
              </w:rPr>
              <w:t>Agregar y retirar documentos relacionados.</w:t>
            </w:r>
          </w:p>
        </w:tc>
        <w:tc>
          <w:tcPr>
            <w:tcW w:type="dxa" w:w="4349"/>
            <w:tcMar>
              <w:top w:w="70" w:type="dxa"/>
              <w:start w:w="70" w:type="dxa"/>
              <w:bottom w:w="70" w:type="dxa"/>
              <w:end w:w="70" w:type="dxa"/>
            </w:tcMar>
            <w:vAlign w:val="top"/>
          </w:tcPr>
          <w:p>
            <w:pPr>
              <w:pStyle w:val="TableCompact"/>
            </w:pPr>
            <w:r>
              <w:rPr>
                <w:sz w:val="14"/>
              </w:rPr>
              <w:t>La sección aparece o se oculta correctamente.</w:t>
            </w:r>
          </w:p>
        </w:tc>
      </w:tr>
      <w:tr>
        <w:trPr>
          <w:cantSplit/>
        </w:trPr>
        <w:tc>
          <w:tcPr>
            <w:tcW w:type="dxa" w:w="1037"/>
            <w:tcMar>
              <w:top w:w="70" w:type="dxa"/>
              <w:start w:w="70" w:type="dxa"/>
              <w:bottom w:w="70" w:type="dxa"/>
              <w:end w:w="70" w:type="dxa"/>
            </w:tcMar>
            <w:vAlign w:val="top"/>
            <w:shd w:fill="F8FAFC"/>
          </w:tcPr>
          <w:p>
            <w:pPr>
              <w:pStyle w:val="TableCompact"/>
            </w:pPr>
            <w:r>
              <w:rPr>
                <w:sz w:val="14"/>
              </w:rPr>
              <w:t>UAT-08</w:t>
            </w:r>
          </w:p>
        </w:tc>
        <w:tc>
          <w:tcPr>
            <w:tcW w:type="dxa" w:w="3960"/>
            <w:tcMar>
              <w:top w:w="70" w:type="dxa"/>
              <w:start w:w="70" w:type="dxa"/>
              <w:bottom w:w="70" w:type="dxa"/>
              <w:end w:w="70" w:type="dxa"/>
            </w:tcMar>
            <w:vAlign w:val="top"/>
            <w:shd w:fill="F8FAFC"/>
          </w:tcPr>
          <w:p>
            <w:pPr>
              <w:pStyle w:val="TableCompact"/>
            </w:pPr>
            <w:r>
              <w:rPr>
                <w:sz w:val="14"/>
              </w:rPr>
              <w:t>Marcar facturado con referencia.</w:t>
            </w:r>
          </w:p>
        </w:tc>
        <w:tc>
          <w:tcPr>
            <w:tcW w:type="dxa" w:w="4349"/>
            <w:tcMar>
              <w:top w:w="70" w:type="dxa"/>
              <w:start w:w="70" w:type="dxa"/>
              <w:bottom w:w="70" w:type="dxa"/>
              <w:end w:w="70" w:type="dxa"/>
            </w:tcMar>
            <w:vAlign w:val="top"/>
            <w:shd w:fill="F8FAFC"/>
          </w:tcPr>
          <w:p>
            <w:pPr>
              <w:pStyle w:val="TableCompact"/>
            </w:pPr>
            <w:r>
              <w:rPr>
                <w:sz w:val="14"/>
              </w:rPr>
              <w:t>La factura de ingreso aparece en seguimiento.</w:t>
            </w:r>
          </w:p>
        </w:tc>
      </w:tr>
      <w:tr>
        <w:trPr>
          <w:cantSplit/>
        </w:trPr>
        <w:tc>
          <w:tcPr>
            <w:tcW w:type="dxa" w:w="1037"/>
            <w:tcMar>
              <w:top w:w="70" w:type="dxa"/>
              <w:start w:w="70" w:type="dxa"/>
              <w:bottom w:w="70" w:type="dxa"/>
              <w:end w:w="70" w:type="dxa"/>
            </w:tcMar>
            <w:vAlign w:val="top"/>
          </w:tcPr>
          <w:p>
            <w:pPr>
              <w:pStyle w:val="TableCompact"/>
            </w:pPr>
            <w:r>
              <w:rPr>
                <w:sz w:val="14"/>
              </w:rPr>
              <w:t>UAT-09</w:t>
            </w:r>
          </w:p>
        </w:tc>
        <w:tc>
          <w:tcPr>
            <w:tcW w:type="dxa" w:w="3960"/>
            <w:tcMar>
              <w:top w:w="70" w:type="dxa"/>
              <w:start w:w="70" w:type="dxa"/>
              <w:bottom w:w="70" w:type="dxa"/>
              <w:end w:w="70" w:type="dxa"/>
            </w:tcMar>
            <w:vAlign w:val="top"/>
          </w:tcPr>
          <w:p>
            <w:pPr>
              <w:pStyle w:val="TableCompact"/>
            </w:pPr>
            <w:r>
              <w:rPr>
                <w:sz w:val="14"/>
              </w:rPr>
              <w:t>Registrar pago parcial y total.</w:t>
            </w:r>
          </w:p>
        </w:tc>
        <w:tc>
          <w:tcPr>
            <w:tcW w:type="dxa" w:w="4349"/>
            <w:tcMar>
              <w:top w:w="70" w:type="dxa"/>
              <w:start w:w="70" w:type="dxa"/>
              <w:bottom w:w="70" w:type="dxa"/>
              <w:end w:w="70" w:type="dxa"/>
            </w:tcMar>
            <w:vAlign w:val="top"/>
          </w:tcPr>
          <w:p>
            <w:pPr>
              <w:pStyle w:val="TableCompact"/>
            </w:pPr>
            <w:r>
              <w:rPr>
                <w:sz w:val="14"/>
              </w:rPr>
              <w:t>CxC y estado pagado permanecen consistentes.</w:t>
            </w:r>
          </w:p>
        </w:tc>
      </w:tr>
      <w:tr>
        <w:trPr>
          <w:cantSplit/>
        </w:trPr>
        <w:tc>
          <w:tcPr>
            <w:tcW w:type="dxa" w:w="1037"/>
            <w:tcMar>
              <w:top w:w="70" w:type="dxa"/>
              <w:start w:w="70" w:type="dxa"/>
              <w:bottom w:w="70" w:type="dxa"/>
              <w:end w:w="70" w:type="dxa"/>
            </w:tcMar>
            <w:vAlign w:val="top"/>
            <w:shd w:fill="F8FAFC"/>
          </w:tcPr>
          <w:p>
            <w:pPr>
              <w:pStyle w:val="TableCompact"/>
            </w:pPr>
            <w:r>
              <w:rPr>
                <w:sz w:val="14"/>
              </w:rPr>
              <w:t>UAT-10</w:t>
            </w:r>
          </w:p>
        </w:tc>
        <w:tc>
          <w:tcPr>
            <w:tcW w:type="dxa" w:w="3960"/>
            <w:tcMar>
              <w:top w:w="70" w:type="dxa"/>
              <w:start w:w="70" w:type="dxa"/>
              <w:bottom w:w="70" w:type="dxa"/>
              <w:end w:w="70" w:type="dxa"/>
            </w:tcMar>
            <w:vAlign w:val="top"/>
            <w:shd w:fill="F8FAFC"/>
          </w:tcPr>
          <w:p>
            <w:pPr>
              <w:pStyle w:val="TableCompact"/>
            </w:pPr>
            <w:r>
              <w:rPr>
                <w:sz w:val="14"/>
              </w:rPr>
              <w:t>Intentar editar precio sin permiso.</w:t>
            </w:r>
          </w:p>
        </w:tc>
        <w:tc>
          <w:tcPr>
            <w:tcW w:type="dxa" w:w="4349"/>
            <w:tcMar>
              <w:top w:w="70" w:type="dxa"/>
              <w:start w:w="70" w:type="dxa"/>
              <w:bottom w:w="70" w:type="dxa"/>
              <w:end w:w="70" w:type="dxa"/>
            </w:tcMar>
            <w:vAlign w:val="top"/>
            <w:shd w:fill="F8FAFC"/>
          </w:tcPr>
          <w:p>
            <w:pPr>
              <w:pStyle w:val="TableCompact"/>
            </w:pPr>
            <w:r>
              <w:rPr>
                <w:sz w:val="14"/>
              </w:rPr>
              <w:t>La acción se bloquea o exige autorización y queda auditada.</w:t>
            </w:r>
          </w:p>
        </w:tc>
      </w:tr>
    </w:tbl>
    <w:p>
      <w:pPr>
        <w:spacing w:after="0"/>
      </w:pPr>
    </w:p>
    <w:p>
      <w:pPr>
        <w:pStyle w:val="Heading1"/>
      </w:pPr>
      <w:r>
        <w:t>12. Riesgos técnicos y controles</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3312"/>
            <w:shd w:fill="102A43"/>
            <w:tcMar>
              <w:top w:w="85" w:type="dxa"/>
              <w:start w:w="80" w:type="dxa"/>
              <w:bottom w:w="85" w:type="dxa"/>
              <w:end w:w="80" w:type="dxa"/>
            </w:tcMar>
            <w:vAlign w:val="center"/>
          </w:tcPr>
          <w:p>
            <w:r>
              <w:rPr>
                <w:b/>
                <w:color w:val="FFFFFF"/>
                <w:sz w:val="14"/>
              </w:rPr>
              <w:t>Riesgo</w:t>
            </w:r>
          </w:p>
        </w:tc>
        <w:tc>
          <w:tcPr>
            <w:tcW w:type="dxa" w:w="936"/>
            <w:shd w:fill="102A43"/>
            <w:tcMar>
              <w:top w:w="85" w:type="dxa"/>
              <w:start w:w="80" w:type="dxa"/>
              <w:bottom w:w="85" w:type="dxa"/>
              <w:end w:w="80" w:type="dxa"/>
            </w:tcMar>
            <w:vAlign w:val="center"/>
          </w:tcPr>
          <w:p>
            <w:r>
              <w:rPr>
                <w:b/>
                <w:color w:val="FFFFFF"/>
                <w:sz w:val="14"/>
              </w:rPr>
              <w:t>Impacto</w:t>
            </w:r>
          </w:p>
        </w:tc>
        <w:tc>
          <w:tcPr>
            <w:tcW w:type="dxa" w:w="5112"/>
            <w:shd w:fill="102A43"/>
            <w:tcMar>
              <w:top w:w="85" w:type="dxa"/>
              <w:start w:w="80" w:type="dxa"/>
              <w:bottom w:w="85" w:type="dxa"/>
              <w:end w:w="80" w:type="dxa"/>
            </w:tcMar>
            <w:vAlign w:val="center"/>
          </w:tcPr>
          <w:p>
            <w:r>
              <w:rPr>
                <w:b/>
                <w:color w:val="FFFFFF"/>
                <w:sz w:val="14"/>
              </w:rPr>
              <w:t>Control</w:t>
            </w:r>
          </w:p>
        </w:tc>
      </w:tr>
      <w:tr>
        <w:trPr>
          <w:cantSplit/>
        </w:trPr>
        <w:tc>
          <w:tcPr>
            <w:tcW w:type="dxa" w:w="3312"/>
            <w:tcMar>
              <w:top w:w="70" w:type="dxa"/>
              <w:start w:w="70" w:type="dxa"/>
              <w:bottom w:w="70" w:type="dxa"/>
              <w:end w:w="70" w:type="dxa"/>
            </w:tcMar>
            <w:vAlign w:val="top"/>
          </w:tcPr>
          <w:p>
            <w:pPr>
              <w:pStyle w:val="TableCompact"/>
            </w:pPr>
            <w:r>
              <w:rPr>
                <w:sz w:val="14"/>
              </w:rPr>
              <w:t>Sobreentrega por concurrencia</w:t>
            </w:r>
          </w:p>
        </w:tc>
        <w:tc>
          <w:tcPr>
            <w:tcW w:type="dxa" w:w="936"/>
            <w:tcMar>
              <w:top w:w="70" w:type="dxa"/>
              <w:start w:w="70" w:type="dxa"/>
              <w:bottom w:w="70" w:type="dxa"/>
              <w:end w:w="70" w:type="dxa"/>
            </w:tcMar>
            <w:vAlign w:val="top"/>
          </w:tcPr>
          <w:p>
            <w:pPr>
              <w:pStyle w:val="TableCompact"/>
            </w:pPr>
            <w:r>
              <w:rPr>
                <w:sz w:val="14"/>
              </w:rPr>
              <w:t>Alta</w:t>
            </w:r>
          </w:p>
        </w:tc>
        <w:tc>
          <w:tcPr>
            <w:tcW w:type="dxa" w:w="5112"/>
            <w:tcMar>
              <w:top w:w="70" w:type="dxa"/>
              <w:start w:w="70" w:type="dxa"/>
              <w:bottom w:w="70" w:type="dxa"/>
              <w:end w:w="70" w:type="dxa"/>
            </w:tcMar>
            <w:vAlign w:val="top"/>
          </w:tcPr>
          <w:p>
            <w:pPr>
              <w:pStyle w:val="TableCompact"/>
            </w:pPr>
            <w:r>
              <w:rPr>
                <w:sz w:val="14"/>
              </w:rPr>
              <w:t>Transacciones, locks/versionado y pruebas simultáneas.</w:t>
            </w:r>
          </w:p>
        </w:tc>
      </w:tr>
      <w:tr>
        <w:trPr>
          <w:cantSplit/>
        </w:trPr>
        <w:tc>
          <w:tcPr>
            <w:tcW w:type="dxa" w:w="3312"/>
            <w:tcMar>
              <w:top w:w="70" w:type="dxa"/>
              <w:start w:w="70" w:type="dxa"/>
              <w:bottom w:w="70" w:type="dxa"/>
              <w:end w:w="70" w:type="dxa"/>
            </w:tcMar>
            <w:vAlign w:val="top"/>
            <w:shd w:fill="F8FAFC"/>
          </w:tcPr>
          <w:p>
            <w:pPr>
              <w:pStyle w:val="TableCompact"/>
            </w:pPr>
            <w:r>
              <w:rPr>
                <w:sz w:val="14"/>
              </w:rPr>
              <w:t>Desalineación entre remisión y CxC</w:t>
            </w:r>
          </w:p>
        </w:tc>
        <w:tc>
          <w:tcPr>
            <w:tcW w:type="dxa" w:w="936"/>
            <w:tcMar>
              <w:top w:w="70" w:type="dxa"/>
              <w:start w:w="70" w:type="dxa"/>
              <w:bottom w:w="70" w:type="dxa"/>
              <w:end w:w="70" w:type="dxa"/>
            </w:tcMar>
            <w:vAlign w:val="top"/>
            <w:shd w:fill="F8FAFC"/>
          </w:tcPr>
          <w:p>
            <w:pPr>
              <w:pStyle w:val="TableCompact"/>
            </w:pPr>
            <w:r>
              <w:rPr>
                <w:sz w:val="14"/>
              </w:rPr>
              <w:t>Alta</w:t>
            </w:r>
          </w:p>
        </w:tc>
        <w:tc>
          <w:tcPr>
            <w:tcW w:type="dxa" w:w="5112"/>
            <w:tcMar>
              <w:top w:w="70" w:type="dxa"/>
              <w:start w:w="70" w:type="dxa"/>
              <w:bottom w:w="70" w:type="dxa"/>
              <w:end w:w="70" w:type="dxa"/>
            </w:tcMar>
            <w:vAlign w:val="top"/>
            <w:shd w:fill="F8FAFC"/>
          </w:tcPr>
          <w:p>
            <w:pPr>
              <w:pStyle w:val="TableCompact"/>
            </w:pPr>
            <w:r>
              <w:rPr>
                <w:sz w:val="14"/>
              </w:rPr>
              <w:t>Servicio de dominio único e idempotencia.</w:t>
            </w:r>
          </w:p>
        </w:tc>
      </w:tr>
      <w:tr>
        <w:trPr>
          <w:cantSplit/>
        </w:trPr>
        <w:tc>
          <w:tcPr>
            <w:tcW w:type="dxa" w:w="3312"/>
            <w:tcMar>
              <w:top w:w="70" w:type="dxa"/>
              <w:start w:w="70" w:type="dxa"/>
              <w:bottom w:w="70" w:type="dxa"/>
              <w:end w:w="70" w:type="dxa"/>
            </w:tcMar>
            <w:vAlign w:val="top"/>
          </w:tcPr>
          <w:p>
            <w:pPr>
              <w:pStyle w:val="TableCompact"/>
            </w:pPr>
            <w:r>
              <w:rPr>
                <w:sz w:val="14"/>
              </w:rPr>
              <w:t>Edición de precio/margen tras aprobación</w:t>
            </w:r>
          </w:p>
        </w:tc>
        <w:tc>
          <w:tcPr>
            <w:tcW w:type="dxa" w:w="936"/>
            <w:tcMar>
              <w:top w:w="70" w:type="dxa"/>
              <w:start w:w="70" w:type="dxa"/>
              <w:bottom w:w="70" w:type="dxa"/>
              <w:end w:w="70" w:type="dxa"/>
            </w:tcMar>
            <w:vAlign w:val="top"/>
          </w:tcPr>
          <w:p>
            <w:pPr>
              <w:pStyle w:val="TableCompact"/>
            </w:pPr>
            <w:r>
              <w:rPr>
                <w:sz w:val="14"/>
              </w:rPr>
              <w:t>Alta</w:t>
            </w:r>
          </w:p>
        </w:tc>
        <w:tc>
          <w:tcPr>
            <w:tcW w:type="dxa" w:w="5112"/>
            <w:tcMar>
              <w:top w:w="70" w:type="dxa"/>
              <w:start w:w="70" w:type="dxa"/>
              <w:bottom w:w="70" w:type="dxa"/>
              <w:end w:w="70" w:type="dxa"/>
            </w:tcMar>
            <w:vAlign w:val="top"/>
          </w:tcPr>
          <w:p>
            <w:pPr>
              <w:pStyle w:val="TableCompact"/>
            </w:pPr>
            <w:r>
              <w:rPr>
                <w:sz w:val="14"/>
              </w:rPr>
              <w:t>Permisos, bloqueo por estado y auditoría.</w:t>
            </w:r>
          </w:p>
        </w:tc>
      </w:tr>
      <w:tr>
        <w:trPr>
          <w:cantSplit/>
        </w:trPr>
        <w:tc>
          <w:tcPr>
            <w:tcW w:type="dxa" w:w="3312"/>
            <w:tcMar>
              <w:top w:w="70" w:type="dxa"/>
              <w:start w:w="70" w:type="dxa"/>
              <w:bottom w:w="70" w:type="dxa"/>
              <w:end w:w="70" w:type="dxa"/>
            </w:tcMar>
            <w:vAlign w:val="top"/>
            <w:shd w:fill="F8FAFC"/>
          </w:tcPr>
          <w:p>
            <w:pPr>
              <w:pStyle w:val="TableCompact"/>
            </w:pPr>
            <w:r>
              <w:rPr>
                <w:sz w:val="14"/>
              </w:rPr>
              <w:t>Duplicación de función ya construida</w:t>
            </w:r>
          </w:p>
        </w:tc>
        <w:tc>
          <w:tcPr>
            <w:tcW w:type="dxa" w:w="936"/>
            <w:tcMar>
              <w:top w:w="70" w:type="dxa"/>
              <w:start w:w="70" w:type="dxa"/>
              <w:bottom w:w="70" w:type="dxa"/>
              <w:end w:w="70" w:type="dxa"/>
            </w:tcMar>
            <w:vAlign w:val="top"/>
            <w:shd w:fill="F8FAFC"/>
          </w:tcPr>
          <w:p>
            <w:pPr>
              <w:pStyle w:val="TableCompact"/>
            </w:pPr>
            <w:r>
              <w:rPr>
                <w:sz w:val="14"/>
              </w:rPr>
              <w:t>Media</w:t>
            </w:r>
          </w:p>
        </w:tc>
        <w:tc>
          <w:tcPr>
            <w:tcW w:type="dxa" w:w="5112"/>
            <w:tcMar>
              <w:top w:w="70" w:type="dxa"/>
              <w:start w:w="70" w:type="dxa"/>
              <w:bottom w:w="70" w:type="dxa"/>
              <w:end w:w="70" w:type="dxa"/>
            </w:tcMar>
            <w:vAlign w:val="top"/>
            <w:shd w:fill="F8FAFC"/>
          </w:tcPr>
          <w:p>
            <w:pPr>
              <w:pStyle w:val="TableCompact"/>
            </w:pPr>
            <w:r>
              <w:rPr>
                <w:sz w:val="14"/>
              </w:rPr>
              <w:t>Auditoría previa con evidencia de cobertura.</w:t>
            </w:r>
          </w:p>
        </w:tc>
      </w:tr>
      <w:tr>
        <w:trPr>
          <w:cantSplit/>
        </w:trPr>
        <w:tc>
          <w:tcPr>
            <w:tcW w:type="dxa" w:w="3312"/>
            <w:tcMar>
              <w:top w:w="70" w:type="dxa"/>
              <w:start w:w="70" w:type="dxa"/>
              <w:bottom w:w="70" w:type="dxa"/>
              <w:end w:w="70" w:type="dxa"/>
            </w:tcMar>
            <w:vAlign w:val="top"/>
          </w:tcPr>
          <w:p>
            <w:pPr>
              <w:pStyle w:val="TableCompact"/>
            </w:pPr>
            <w:r>
              <w:rPr>
                <w:sz w:val="14"/>
              </w:rPr>
              <w:t>PDF distinto a vista</w:t>
            </w:r>
          </w:p>
        </w:tc>
        <w:tc>
          <w:tcPr>
            <w:tcW w:type="dxa" w:w="936"/>
            <w:tcMar>
              <w:top w:w="70" w:type="dxa"/>
              <w:start w:w="70" w:type="dxa"/>
              <w:bottom w:w="70" w:type="dxa"/>
              <w:end w:w="70" w:type="dxa"/>
            </w:tcMar>
            <w:vAlign w:val="top"/>
          </w:tcPr>
          <w:p>
            <w:pPr>
              <w:pStyle w:val="TableCompact"/>
            </w:pPr>
            <w:r>
              <w:rPr>
                <w:sz w:val="14"/>
              </w:rPr>
              <w:t>Media</w:t>
            </w:r>
          </w:p>
        </w:tc>
        <w:tc>
          <w:tcPr>
            <w:tcW w:type="dxa" w:w="5112"/>
            <w:tcMar>
              <w:top w:w="70" w:type="dxa"/>
              <w:start w:w="70" w:type="dxa"/>
              <w:bottom w:w="70" w:type="dxa"/>
              <w:end w:w="70" w:type="dxa"/>
            </w:tcMar>
            <w:vAlign w:val="top"/>
          </w:tcPr>
          <w:p>
            <w:pPr>
              <w:pStyle w:val="TableCompact"/>
            </w:pPr>
            <w:r>
              <w:rPr>
                <w:sz w:val="14"/>
              </w:rPr>
              <w:t>Fuente de datos única y pruebas de render/snapshot.</w:t>
            </w:r>
          </w:p>
        </w:tc>
      </w:tr>
      <w:tr>
        <w:trPr>
          <w:cantSplit/>
        </w:trPr>
        <w:tc>
          <w:tcPr>
            <w:tcW w:type="dxa" w:w="3312"/>
            <w:tcMar>
              <w:top w:w="70" w:type="dxa"/>
              <w:start w:w="70" w:type="dxa"/>
              <w:bottom w:w="70" w:type="dxa"/>
              <w:end w:w="70" w:type="dxa"/>
            </w:tcMar>
            <w:vAlign w:val="top"/>
            <w:shd w:fill="F8FAFC"/>
          </w:tcPr>
          <w:p>
            <w:pPr>
              <w:pStyle w:val="TableCompact"/>
            </w:pPr>
            <w:r>
              <w:rPr>
                <w:sz w:val="14"/>
              </w:rPr>
              <w:t>Cambio de folio en producción</w:t>
            </w:r>
          </w:p>
        </w:tc>
        <w:tc>
          <w:tcPr>
            <w:tcW w:type="dxa" w:w="936"/>
            <w:tcMar>
              <w:top w:w="70" w:type="dxa"/>
              <w:start w:w="70" w:type="dxa"/>
              <w:bottom w:w="70" w:type="dxa"/>
              <w:end w:w="70" w:type="dxa"/>
            </w:tcMar>
            <w:vAlign w:val="top"/>
            <w:shd w:fill="F8FAFC"/>
          </w:tcPr>
          <w:p>
            <w:pPr>
              <w:pStyle w:val="TableCompact"/>
            </w:pPr>
            <w:r>
              <w:rPr>
                <w:sz w:val="14"/>
              </w:rPr>
              <w:t>Media</w:t>
            </w:r>
          </w:p>
        </w:tc>
        <w:tc>
          <w:tcPr>
            <w:tcW w:type="dxa" w:w="5112"/>
            <w:tcMar>
              <w:top w:w="70" w:type="dxa"/>
              <w:start w:w="70" w:type="dxa"/>
              <w:bottom w:w="70" w:type="dxa"/>
              <w:end w:w="70" w:type="dxa"/>
            </w:tcMar>
            <w:vAlign w:val="top"/>
            <w:shd w:fill="F8FAFC"/>
          </w:tcPr>
          <w:p>
            <w:pPr>
              <w:pStyle w:val="TableCompact"/>
            </w:pPr>
            <w:r>
              <w:rPr>
                <w:sz w:val="14"/>
              </w:rPr>
              <w:t>Migración no destructiva y coexistencia controlada.</w:t>
            </w:r>
          </w:p>
        </w:tc>
      </w:tr>
      <w:tr>
        <w:trPr>
          <w:cantSplit/>
        </w:trPr>
        <w:tc>
          <w:tcPr>
            <w:tcW w:type="dxa" w:w="3312"/>
            <w:tcMar>
              <w:top w:w="70" w:type="dxa"/>
              <w:start w:w="70" w:type="dxa"/>
              <w:bottom w:w="70" w:type="dxa"/>
              <w:end w:w="70" w:type="dxa"/>
            </w:tcMar>
            <w:vAlign w:val="top"/>
          </w:tcPr>
          <w:p>
            <w:pPr>
              <w:pStyle w:val="TableCompact"/>
            </w:pPr>
            <w:r>
              <w:rPr>
                <w:sz w:val="14"/>
              </w:rPr>
              <w:t>Adopción baja</w:t>
            </w:r>
          </w:p>
        </w:tc>
        <w:tc>
          <w:tcPr>
            <w:tcW w:type="dxa" w:w="936"/>
            <w:tcMar>
              <w:top w:w="70" w:type="dxa"/>
              <w:start w:w="70" w:type="dxa"/>
              <w:bottom w:w="70" w:type="dxa"/>
              <w:end w:w="70" w:type="dxa"/>
            </w:tcMar>
            <w:vAlign w:val="top"/>
          </w:tcPr>
          <w:p>
            <w:pPr>
              <w:pStyle w:val="TableCompact"/>
            </w:pPr>
            <w:r>
              <w:rPr>
                <w:sz w:val="14"/>
              </w:rPr>
              <w:t>Media</w:t>
            </w:r>
          </w:p>
        </w:tc>
        <w:tc>
          <w:tcPr>
            <w:tcW w:type="dxa" w:w="5112"/>
            <w:tcMar>
              <w:top w:w="70" w:type="dxa"/>
              <w:start w:w="70" w:type="dxa"/>
              <w:bottom w:w="70" w:type="dxa"/>
              <w:end w:w="70" w:type="dxa"/>
            </w:tcMar>
            <w:vAlign w:val="top"/>
          </w:tcPr>
          <w:p>
            <w:pPr>
              <w:pStyle w:val="TableCompact"/>
            </w:pPr>
            <w:r>
              <w:rPr>
                <w:sz w:val="14"/>
              </w:rPr>
              <w:t>UAT con usuarios intensivos, microcapacitación y métricas.</w:t>
            </w:r>
          </w:p>
        </w:tc>
      </w:tr>
    </w:tbl>
    <w:p>
      <w:pPr>
        <w:spacing w:after="0"/>
      </w:pPr>
    </w:p>
    <w:p>
      <w:pPr>
        <w:pStyle w:val="Heading1"/>
      </w:pPr>
      <w:r>
        <w:t>13. Forma de trabajo y aceptación</w:t>
      </w:r>
    </w:p>
    <w:p>
      <w:pPr>
        <w:pStyle w:val="ListNumber"/>
        <w:spacing w:after="40"/>
      </w:pPr>
      <w:r>
        <w:t>Atlas convierte cada bloque funcional aprobado en especificaciones y Task Packs ejecutables por agentes de desarrollo.</w:t>
      </w:r>
    </w:p>
    <w:p>
      <w:pPr>
        <w:pStyle w:val="ListNumber"/>
        <w:spacing w:after="40"/>
      </w:pPr>
      <w:r>
        <w:t>La implementación se organiza en microciclos medidos en horas o días, con alcance reducido, evidencia funcional y criterios de aceptación explícitos.</w:t>
      </w:r>
    </w:p>
    <w:p>
      <w:pPr>
        <w:pStyle w:val="ListNumber"/>
        <w:spacing w:after="40"/>
      </w:pPr>
      <w:r>
        <w:t>No se fijan calendarios de varias semanas por defecto; cualquier estimación se define únicamente cuando el alcance, dependencias e invariantes están cerrados.</w:t>
      </w:r>
    </w:p>
    <w:p>
      <w:pPr>
        <w:pStyle w:val="ListNumber"/>
        <w:spacing w:after="40"/>
      </w:pPr>
      <w:r>
        <w:t>Vania y Axel priorizan y validan el comportamiento funcional; los stakeholders participan en las pruebas de los flujos que les corresponden.</w:t>
      </w:r>
    </w:p>
    <w:p>
      <w:pPr>
        <w:pStyle w:val="ListNumber"/>
        <w:spacing w:after="40"/>
      </w:pPr>
      <w:r>
        <w:t>Los cambios se validan primero en un ambiente seguro con datos controlados y después mediante pruebas UAT.</w:t>
      </w:r>
    </w:p>
    <w:p>
      <w:pPr>
        <w:pStyle w:val="ListNumber"/>
        <w:spacing w:after="40"/>
      </w:pPr>
      <w:r>
        <w:t>Atlas corrige defectos del alcance acordado y prepara la liberación con respaldo, observabilidad y plan de reversa.</w:t>
      </w:r>
    </w:p>
    <w:p>
      <w:pPr>
        <w:pStyle w:val="ListNumber"/>
        <w:spacing w:after="40"/>
      </w:pPr>
      <w:r>
        <w:t>Las nuevas solicitudes o cambios de alcance se documentan como backlog y se ejecutan en un microciclo posterior.</w:t>
      </w:r>
    </w:p>
    <w:p>
      <w:pPr>
        <w:pStyle w:val="Heading1"/>
      </w:pPr>
      <w:r>
        <w:t>14. Responsabilidades</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376"/>
            <w:shd w:fill="102A43"/>
            <w:tcMar>
              <w:top w:w="85" w:type="dxa"/>
              <w:start w:w="80" w:type="dxa"/>
              <w:bottom w:w="85" w:type="dxa"/>
              <w:end w:w="80" w:type="dxa"/>
            </w:tcMar>
            <w:vAlign w:val="center"/>
          </w:tcPr>
          <w:p>
            <w:r>
              <w:rPr>
                <w:b/>
                <w:color w:val="FFFFFF"/>
                <w:sz w:val="14"/>
              </w:rPr>
              <w:t>Rol</w:t>
            </w:r>
          </w:p>
        </w:tc>
        <w:tc>
          <w:tcPr>
            <w:tcW w:type="dxa" w:w="2333"/>
            <w:shd w:fill="102A43"/>
            <w:tcMar>
              <w:top w:w="85" w:type="dxa"/>
              <w:start w:w="80" w:type="dxa"/>
              <w:bottom w:w="85" w:type="dxa"/>
              <w:end w:w="80" w:type="dxa"/>
            </w:tcMar>
            <w:vAlign w:val="center"/>
          </w:tcPr>
          <w:p>
            <w:r>
              <w:rPr>
                <w:b/>
                <w:color w:val="FFFFFF"/>
                <w:sz w:val="14"/>
              </w:rPr>
              <w:t>Responsable</w:t>
            </w:r>
          </w:p>
        </w:tc>
        <w:tc>
          <w:tcPr>
            <w:tcW w:type="dxa" w:w="4651"/>
            <w:shd w:fill="102A43"/>
            <w:tcMar>
              <w:top w:w="85" w:type="dxa"/>
              <w:start w:w="80" w:type="dxa"/>
              <w:bottom w:w="85" w:type="dxa"/>
              <w:end w:w="80" w:type="dxa"/>
            </w:tcMar>
            <w:vAlign w:val="center"/>
          </w:tcPr>
          <w:p>
            <w:r>
              <w:rPr>
                <w:b/>
                <w:color w:val="FFFFFF"/>
                <w:sz w:val="14"/>
              </w:rPr>
              <w:t>Compromisos principales</w:t>
            </w:r>
          </w:p>
        </w:tc>
      </w:tr>
      <w:tr>
        <w:trPr>
          <w:cantSplit/>
        </w:trPr>
        <w:tc>
          <w:tcPr>
            <w:tcW w:type="dxa" w:w="2376"/>
            <w:tcMar>
              <w:top w:w="70" w:type="dxa"/>
              <w:start w:w="70" w:type="dxa"/>
              <w:bottom w:w="70" w:type="dxa"/>
              <w:end w:w="70" w:type="dxa"/>
            </w:tcMar>
            <w:vAlign w:val="top"/>
          </w:tcPr>
          <w:p>
            <w:pPr>
              <w:pStyle w:val="TableCompact"/>
            </w:pPr>
            <w:r>
              <w:rPr>
                <w:sz w:val="14"/>
              </w:rPr>
              <w:t>DASIC – Product Owners funcionales</w:t>
            </w:r>
          </w:p>
        </w:tc>
        <w:tc>
          <w:tcPr>
            <w:tcW w:type="dxa" w:w="2333"/>
            <w:tcMar>
              <w:top w:w="70" w:type="dxa"/>
              <w:start w:w="70" w:type="dxa"/>
              <w:bottom w:w="70" w:type="dxa"/>
              <w:end w:w="70" w:type="dxa"/>
            </w:tcMar>
            <w:vAlign w:val="top"/>
          </w:tcPr>
          <w:p>
            <w:pPr>
              <w:pStyle w:val="TableCompact"/>
            </w:pPr>
            <w:r>
              <w:rPr>
                <w:sz w:val="14"/>
              </w:rPr>
              <w:t>Vania y Axel</w:t>
            </w:r>
          </w:p>
        </w:tc>
        <w:tc>
          <w:tcPr>
            <w:tcW w:type="dxa" w:w="4651"/>
            <w:tcMar>
              <w:top w:w="70" w:type="dxa"/>
              <w:start w:w="70" w:type="dxa"/>
              <w:bottom w:w="70" w:type="dxa"/>
              <w:end w:w="70" w:type="dxa"/>
            </w:tcMar>
            <w:vAlign w:val="top"/>
          </w:tcPr>
          <w:p>
            <w:pPr>
              <w:pStyle w:val="TableCompact"/>
            </w:pPr>
            <w:r>
              <w:rPr>
                <w:sz w:val="14"/>
              </w:rPr>
              <w:t>Priorizar, aclarar reglas, proporcionar ejemplos reales y aceptar o rechazar cada historia.</w:t>
            </w:r>
          </w:p>
        </w:tc>
      </w:tr>
      <w:tr>
        <w:trPr>
          <w:cantSplit/>
        </w:trPr>
        <w:tc>
          <w:tcPr>
            <w:tcW w:type="dxa" w:w="2376"/>
            <w:tcMar>
              <w:top w:w="70" w:type="dxa"/>
              <w:start w:w="70" w:type="dxa"/>
              <w:bottom w:w="70" w:type="dxa"/>
              <w:end w:w="70" w:type="dxa"/>
            </w:tcMar>
            <w:vAlign w:val="top"/>
            <w:shd w:fill="F8FAFC"/>
          </w:tcPr>
          <w:p>
            <w:pPr>
              <w:pStyle w:val="TableCompact"/>
            </w:pPr>
            <w:r>
              <w:rPr>
                <w:sz w:val="14"/>
              </w:rPr>
              <w:t>Usuarios clave</w:t>
            </w:r>
          </w:p>
        </w:tc>
        <w:tc>
          <w:tcPr>
            <w:tcW w:type="dxa" w:w="2333"/>
            <w:tcMar>
              <w:top w:w="70" w:type="dxa"/>
              <w:start w:w="70" w:type="dxa"/>
              <w:bottom w:w="70" w:type="dxa"/>
              <w:end w:w="70" w:type="dxa"/>
            </w:tcMar>
            <w:vAlign w:val="top"/>
            <w:shd w:fill="F8FAFC"/>
          </w:tcPr>
          <w:p>
            <w:pPr>
              <w:pStyle w:val="TableCompact"/>
            </w:pPr>
            <w:r>
              <w:rPr>
                <w:sz w:val="14"/>
              </w:rPr>
              <w:t>Todos los stakeholders de DASIC</w:t>
            </w:r>
          </w:p>
        </w:tc>
        <w:tc>
          <w:tcPr>
            <w:tcW w:type="dxa" w:w="4651"/>
            <w:tcMar>
              <w:top w:w="70" w:type="dxa"/>
              <w:start w:w="70" w:type="dxa"/>
              <w:bottom w:w="70" w:type="dxa"/>
              <w:end w:w="70" w:type="dxa"/>
            </w:tcMar>
            <w:vAlign w:val="top"/>
            <w:shd w:fill="F8FAFC"/>
          </w:tcPr>
          <w:p>
            <w:pPr>
              <w:pStyle w:val="TableCompact"/>
            </w:pPr>
            <w:r>
              <w:rPr>
                <w:sz w:val="14"/>
              </w:rPr>
              <w:t>Probar los flujos correspondientes a su operación y registrar observaciones UAT.</w:t>
            </w:r>
          </w:p>
        </w:tc>
      </w:tr>
      <w:tr>
        <w:trPr>
          <w:cantSplit/>
        </w:trPr>
        <w:tc>
          <w:tcPr>
            <w:tcW w:type="dxa" w:w="2376"/>
            <w:tcMar>
              <w:top w:w="70" w:type="dxa"/>
              <w:start w:w="70" w:type="dxa"/>
              <w:bottom w:w="70" w:type="dxa"/>
              <w:end w:w="70" w:type="dxa"/>
            </w:tcMar>
            <w:vAlign w:val="top"/>
          </w:tcPr>
          <w:p>
            <w:pPr>
              <w:pStyle w:val="TableCompact"/>
            </w:pPr>
            <w:r>
              <w:rPr>
                <w:sz w:val="14"/>
              </w:rPr>
              <w:t>Atlas – Producto</w:t>
            </w:r>
          </w:p>
        </w:tc>
        <w:tc>
          <w:tcPr>
            <w:tcW w:type="dxa" w:w="2333"/>
            <w:tcMar>
              <w:top w:w="70" w:type="dxa"/>
              <w:start w:w="70" w:type="dxa"/>
              <w:bottom w:w="70" w:type="dxa"/>
              <w:end w:w="70" w:type="dxa"/>
            </w:tcMar>
            <w:vAlign w:val="top"/>
          </w:tcPr>
          <w:p>
            <w:pPr>
              <w:pStyle w:val="TableCompact"/>
            </w:pPr>
            <w:r>
              <w:rPr>
                <w:sz w:val="14"/>
              </w:rPr>
              <w:t>Emmanuel Campos</w:t>
            </w:r>
          </w:p>
        </w:tc>
        <w:tc>
          <w:tcPr>
            <w:tcW w:type="dxa" w:w="4651"/>
            <w:tcMar>
              <w:top w:w="70" w:type="dxa"/>
              <w:start w:w="70" w:type="dxa"/>
              <w:bottom w:w="70" w:type="dxa"/>
              <w:end w:w="70" w:type="dxa"/>
            </w:tcMar>
            <w:vAlign w:val="top"/>
          </w:tcPr>
          <w:p>
            <w:pPr>
              <w:pStyle w:val="TableCompact"/>
            </w:pPr>
            <w:r>
              <w:rPr>
                <w:sz w:val="14"/>
              </w:rPr>
              <w:t>Traducir solicitudes a especificaciones, proteger alcance y mantener trazabilidad de decisiones.</w:t>
            </w:r>
          </w:p>
        </w:tc>
      </w:tr>
      <w:tr>
        <w:trPr>
          <w:cantSplit/>
        </w:trPr>
        <w:tc>
          <w:tcPr>
            <w:tcW w:type="dxa" w:w="2376"/>
            <w:tcMar>
              <w:top w:w="70" w:type="dxa"/>
              <w:start w:w="70" w:type="dxa"/>
              <w:bottom w:w="70" w:type="dxa"/>
              <w:end w:w="70" w:type="dxa"/>
            </w:tcMar>
            <w:vAlign w:val="top"/>
            <w:shd w:fill="F8FAFC"/>
          </w:tcPr>
          <w:p>
            <w:pPr>
              <w:pStyle w:val="TableCompact"/>
            </w:pPr>
            <w:r>
              <w:rPr>
                <w:sz w:val="14"/>
              </w:rPr>
              <w:t>Atlas – Desarrollo</w:t>
            </w:r>
          </w:p>
        </w:tc>
        <w:tc>
          <w:tcPr>
            <w:tcW w:type="dxa" w:w="2333"/>
            <w:tcMar>
              <w:top w:w="70" w:type="dxa"/>
              <w:start w:w="70" w:type="dxa"/>
              <w:bottom w:w="70" w:type="dxa"/>
              <w:end w:w="70" w:type="dxa"/>
            </w:tcMar>
            <w:vAlign w:val="top"/>
            <w:shd w:fill="F8FAFC"/>
          </w:tcPr>
          <w:p>
            <w:pPr>
              <w:pStyle w:val="TableCompact"/>
            </w:pPr>
            <w:r>
              <w:rPr>
                <w:sz w:val="14"/>
              </w:rPr>
              <w:t>Israel Romero y Leonardo González</w:t>
            </w:r>
          </w:p>
        </w:tc>
        <w:tc>
          <w:tcPr>
            <w:tcW w:type="dxa" w:w="4651"/>
            <w:tcMar>
              <w:top w:w="70" w:type="dxa"/>
              <w:start w:w="70" w:type="dxa"/>
              <w:bottom w:w="70" w:type="dxa"/>
              <w:end w:w="70" w:type="dxa"/>
            </w:tcMar>
            <w:vAlign w:val="top"/>
            <w:shd w:fill="F8FAFC"/>
          </w:tcPr>
          <w:p>
            <w:pPr>
              <w:pStyle w:val="TableCompact"/>
            </w:pPr>
            <w:r>
              <w:rPr>
                <w:sz w:val="14"/>
              </w:rPr>
              <w:t>Analizar arquitectura, implementar, migrar, probar, documentar y desplegar.</w:t>
            </w:r>
          </w:p>
        </w:tc>
      </w:tr>
      <w:tr>
        <w:trPr>
          <w:cantSplit/>
        </w:trPr>
        <w:tc>
          <w:tcPr>
            <w:tcW w:type="dxa" w:w="2376"/>
            <w:tcMar>
              <w:top w:w="70" w:type="dxa"/>
              <w:start w:w="70" w:type="dxa"/>
              <w:bottom w:w="70" w:type="dxa"/>
              <w:end w:w="70" w:type="dxa"/>
            </w:tcMar>
            <w:vAlign w:val="top"/>
          </w:tcPr>
          <w:p>
            <w:pPr>
              <w:pStyle w:val="TableCompact"/>
            </w:pPr>
            <w:r>
              <w:rPr>
                <w:sz w:val="14"/>
              </w:rPr>
              <w:t>Atlas – QA</w:t>
            </w:r>
          </w:p>
        </w:tc>
        <w:tc>
          <w:tcPr>
            <w:tcW w:type="dxa" w:w="2333"/>
            <w:tcMar>
              <w:top w:w="70" w:type="dxa"/>
              <w:start w:w="70" w:type="dxa"/>
              <w:bottom w:w="70" w:type="dxa"/>
              <w:end w:w="70" w:type="dxa"/>
            </w:tcMar>
            <w:vAlign w:val="top"/>
          </w:tcPr>
          <w:p>
            <w:pPr>
              <w:pStyle w:val="TableCompact"/>
            </w:pPr>
            <w:r>
              <w:rPr>
                <w:sz w:val="14"/>
              </w:rPr>
              <w:t>Equipo staff junior de Atlas</w:t>
            </w:r>
          </w:p>
        </w:tc>
        <w:tc>
          <w:tcPr>
            <w:tcW w:type="dxa" w:w="4651"/>
            <w:tcMar>
              <w:top w:w="70" w:type="dxa"/>
              <w:start w:w="70" w:type="dxa"/>
              <w:bottom w:w="70" w:type="dxa"/>
              <w:end w:w="70" w:type="dxa"/>
            </w:tcMar>
            <w:vAlign w:val="top"/>
          </w:tcPr>
          <w:p>
            <w:pPr>
              <w:pStyle w:val="TableCompact"/>
            </w:pPr>
            <w:r>
              <w:rPr>
                <w:sz w:val="14"/>
              </w:rPr>
              <w:t>Ejecutar regresión, casos UAT asistidos, validaciones de permisos y evidencia de calidad.</w:t>
            </w:r>
          </w:p>
        </w:tc>
      </w:tr>
    </w:tbl>
    <w:p>
      <w:pPr>
        <w:spacing w:after="0"/>
      </w:pPr>
    </w:p>
    <w:p>
      <w:pPr>
        <w:pStyle w:val="Heading1"/>
      </w:pPr>
      <w:r>
        <w:t>15. Criterios de éxito</w:t>
      </w:r>
    </w:p>
    <w:p>
      <w:pPr>
        <w:pStyle w:val="ListBullet"/>
        <w:spacing w:after="40"/>
      </w:pPr>
      <w:r>
        <w:t>Una remisión parcial puede generarse en menos de dos minutos desde una cotización existente.</w:t>
      </w:r>
    </w:p>
    <w:p>
      <w:pPr>
        <w:pStyle w:val="ListBullet"/>
        <w:spacing w:after="40"/>
      </w:pPr>
      <w:r>
        <w:t>Ninguna remisión modifica accidentalmente la cotización de origen.</w:t>
      </w:r>
    </w:p>
    <w:p>
      <w:pPr>
        <w:pStyle w:val="ListBullet"/>
        <w:spacing w:after="40"/>
      </w:pPr>
      <w:r>
        <w:t>Las cantidades remitidas y pendientes son consistentes en todas las vistas y bajo concurrencia.</w:t>
      </w:r>
    </w:p>
    <w:p>
      <w:pPr>
        <w:pStyle w:val="ListBullet"/>
        <w:spacing w:after="40"/>
      </w:pPr>
      <w:r>
        <w:t>El documento de remisión contiene únicamente la información aprobada por DASIC.</w:t>
      </w:r>
    </w:p>
    <w:p>
      <w:pPr>
        <w:pStyle w:val="ListBullet"/>
        <w:spacing w:after="40"/>
      </w:pPr>
      <w:r>
        <w:t>Facturación, pago y complemento de pago se distinguen y consultan sin ambigüedad.</w:t>
      </w:r>
    </w:p>
    <w:p>
      <w:pPr>
        <w:pStyle w:val="ListBullet"/>
        <w:spacing w:after="40"/>
      </w:pPr>
      <w:r>
        <w:t>Los stakeholders completan los casos UAT sin defectos críticos.</w:t>
      </w:r>
    </w:p>
    <w:p>
      <w:pPr>
        <w:pStyle w:val="ListBullet"/>
        <w:spacing w:after="40"/>
      </w:pPr>
      <w:r>
        <w:t>El flujo cotización → remisión → CxC conserva bitácora, permisos y capacidad de reversa.</w:t>
      </w:r>
    </w:p>
    <w:tbl>
      <w:tblPr>
        <w:tblW w:type="auto" w:w="0"/>
        <w:jc w:val="center"/>
        <w:tblLayout w:type="fixed"/>
        <w:tblLook w:firstColumn="1" w:firstRow="1" w:lastColumn="0" w:lastRow="0" w:noHBand="0" w:noVBand="1" w:val="04A0"/>
      </w:tblPr>
      <w:tblGrid>
        <w:gridCol w:w="10310"/>
      </w:tblGrid>
      <w:tr>
        <w:tc>
          <w:tcPr>
            <w:tcW w:type="dxa" w:w="9432"/>
            <w:shd w:fill="E8F7F0"/>
            <w:tcMar>
              <w:top w:w="115" w:type="dxa"/>
              <w:start w:w="150" w:type="dxa"/>
              <w:bottom w:w="115" w:type="dxa"/>
              <w:end w:w="130" w:type="dxa"/>
            </w:tcMar>
            <w:tcBorders>
              <w:top w:val="nil"/>
              <w:left w:val="single" w:sz="28" w:space="0" w:color="0F766E"/>
              <w:bottom w:val="nil"/>
              <w:right w:val="nil"/>
            </w:tcBorders>
          </w:tcPr>
          <w:p>
            <w:pPr>
              <w:pStyle w:val="TableCompact"/>
            </w:pPr>
            <w:r>
              <w:rPr>
                <w:b/>
                <w:color w:val="0F766E"/>
              </w:rPr>
              <w:t>Siguiente paso propuesto</w:t>
              <w:br/>
            </w:r>
            <w:r>
              <w:rPr>
                <w:sz w:val="18"/>
              </w:rPr>
              <w:t>Realizar una validación funcional breve con Vania, Axel y stakeholders de almacén/cobranza. Se recorrerán dos cotizaciones reales, una remisión parcial y un escenario de pago para confirmar las invariantes antes de ejecutar los microciclos técnicos.</w:t>
            </w:r>
          </w:p>
        </w:tc>
      </w:tr>
    </w:tbl>
    <w:p>
      <w:pPr>
        <w:spacing w:after="0"/>
      </w:pPr>
    </w:p>
    <w:p>
      <w:pPr>
        <w:pStyle w:val="Heading1"/>
      </w:pPr>
      <w:r>
        <w:t>Anexo. Fuente y alcance de esta interpretación</w:t>
      </w:r>
    </w:p>
    <w:p>
      <w:r>
        <w:t>Fuente primaria: documento “Solicitudes de ERP” compartido por miembros de DASIC, con requerimientos sobre generación y vista de remisiones, búsqueda de cotizaciones, documentos relacionados y seguimiento de facturación y pago. Fuente contextual: estatus productivo y técnico de Atlas ONE · DASIC Industrial compartido el 5 de agosto de 2026, así como el backlog técnico Scrum preparado para su ejecución. Este documento funciona como base de alineación y aceptación; las brechas se confirmarán con evidencia del repositorio y pruebas funcionales.</w:t>
      </w:r>
    </w:p>
    <w:sectPr w:rsidR="00FC693F" w:rsidRPr="0006063C" w:rsidSect="00034616">
      <w:headerReference w:type="default" r:id="rId9"/>
      <w:footerReference w:type="default" r:id="rId10"/>
      <w:pgSz w:w="12240" w:h="15840"/>
      <w:pgMar w:top="907" w:right="965" w:bottom="893"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2606D"/>
        <w:sz w:val="16"/>
      </w:rPr>
      <w:t>Versión 3.0  ·  5 de agosto de 2026</w:t>
    </w:r>
  </w:p>
  <w:p>
    <w:pPr>
      <w:jc w:val="right"/>
    </w:pPr>
    <w:r>
      <w:rPr>
        <w:color w:val="52606D"/>
        <w:sz w:val="16"/>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10B981"/>
      </w:pBdr>
    </w:pPr>
    <w:r>
      <w:rPr>
        <w:rFonts w:ascii="Aptos" w:hAnsi="Aptos"/>
        <w:b/>
        <w:color w:val="0F766E"/>
        <w:sz w:val="16"/>
      </w:rPr>
      <w:t>ATLAS ONE  ·  DASIC INDUSTRIAL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eastAsia="Apto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102A43"/>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eastAsia="Aptos Display"/>
      <w:b/>
      <w:bCs/>
      <w:color w:val="0F766E"/>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w:hAnsi="Aptos" w:eastAsia="Aptos"/>
      <w:b/>
      <w:bCs/>
      <w:color w:val="1F29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eastAsia="Aptos Display"/>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eastAsia="Aptos"/>
      <w:b w:val="0"/>
      <w:i/>
      <w:iCs/>
      <w:color w:val="52606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40"/>
    </w:pPr>
    <w:rPr>
      <w:rFonts w:ascii="Aptos" w:hAnsi="Aptos"/>
      <w:color w:val="52606D"/>
      <w:sz w:val="16"/>
    </w:rPr>
  </w:style>
  <w:style w:type="paragraph" w:customStyle="1" w:styleId="TableCompact">
    <w:name w:val="Table Compact"/>
    <w:pPr>
      <w:spacing w:after="0" w:line="240" w:lineRule="auto"/>
    </w:pPr>
    <w:rPr>
      <w:rFonts w:ascii="Aptos" w:hAnsi="Aptos"/>
      <w:color w:val="1F293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