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Programa de transformación digital de Grupo Dipromedic</w:t>
      </w:r>
    </w:p>
    <w:p>
      <w:pPr>
        <w:pStyle w:val="Heading1"/>
      </w:pPr>
      <w:r>
        <w:t>Dossier de alcance de la primera fase</w:t>
      </w:r>
    </w:p>
    <w:p>
      <w:r>
        <w:t>Propuesta ejecutiva y técnica para revisión de dirección. Modalidad white label. Liderazgo integral propuesto: Emmanuel Campos. Versión 1.0 · 28 de octubre de 2026.</w:t>
      </w:r>
    </w:p>
    <w:p>
      <w:r>
        <w:t>Este dossier propone ejecutar en paralelo tres frentes: automatización administrativa de planta durante aproximadamente cuatro meses, plataforma comercial de licitaciones durante aproximadamente tres meses y acompañamiento a TI durante seis meses, dividido en tres meses iniciales y tres de seguimiento. El diagnóstico y los levantamientos forman parte del programa; no se consideran realizados.</w:t>
      </w:r>
    </w:p>
    <w:p>
      <w:r>
        <w:t>La decisión solicitada es validar el alcance de referencia, designar responsables de negocio y habilitar el diagnóstico que permitirá cerrar prioridades, capacidad del equipo, inversión y criterios de aceptación. Este documento constituye una base para cotización y contratación; no contiene importes aprobados ni representa una cotización económica cerrada.</w:t>
      </w:r>
    </w:p>
    <w:p>
      <w:pPr>
        <w:pStyle w:val="Heading1"/>
      </w:pPr>
      <w:r>
        <w:t>1 Contexto y propósito</w:t>
      </w:r>
    </w:p>
    <w:p>
      <w:r>
        <w:t>Durante dos semanas se impartieron cursos de inteligencia artificial utilizando distintos modelos. Las sesiones permitieron explorar posibilidades de automatización y desarrollar familiaridad con la creación de artefactos y prototipos. La siguiente etapa consiste en llevar esas ideas a procesos cotidianos mediante plataformas con arquitectura, datos consistentes, permisos, pruebas, despliegue y operación sostenida.</w:t>
      </w:r>
    </w:p>
    <w:p>
      <w:r>
        <w:t>De acuerdo con el contexto proporcionado, han participado en las conversaciones el CEO, ingeniero Tirso, Miguel Medina del área comercial y el director de planta. Los cargos completos, responsables de aprobación y participantes de TI se confirmarán en el arranque. Emmanuel Campos propone asumir el liderazgo integral de la transformación y coordinar al equipo de ejecución y especialistas invitados.</w:t>
      </w:r>
    </w:p>
    <w:p>
      <w:r>
        <w:t>La información pública de Dipromedic describe un negocio de desarrollo, comercialización y distribución de productos de traumatología y ortopedia, con familias de osteosíntesis, reemplazo articular, columna e instrumental. Su sitio vincula la fabricación con la planta Fixier. Esta información orienta la investigación; no sustituye la validación interna del catálogo, las razones sociales, las certificaciones o las capacidades vigentes [F1–F2].</w:t>
      </w:r>
    </w:p>
    <w:p>
      <w:pPr>
        <w:pStyle w:val="Heading1"/>
      </w:pPr>
      <w:r>
        <w:t>2 Resultados esperados de esta fase</w:t>
      </w:r>
    </w:p>
    <w:p>
      <w:r>
        <w:t>Planta contará con un flujo administrativo definido para capturar, validar y consultar información de planeación, carga de máquinas y tiempos, disminuyendo la transcripción entre archivos. Comercial contará con un espacio para explorar oportunidades, organizar productos y preparar expedientes con trazabilidad documental. TI dispondrá de una arquitectura de referencia, prioridades de fortalecimiento y acompañamiento para sostener la solución.</w:t>
      </w:r>
    </w:p>
    <w:p>
      <w:r>
        <w:t>Los beneficios cuantitativos se establecerán con una línea base durante el diagnóstico. No se promete un porcentaje de ahorro, número de licitaciones ganadas ni sustitución completa de los sistemas existentes antes de conocer los procesos y datos.</w:t>
      </w:r>
    </w:p>
    <w:tbl>
      <w:tblPr>
        <w:tblW w:type="auto" w:w="0"/>
        <w:tblLayout w:type="fixed"/>
        <w:tblLook w:firstColumn="1" w:firstRow="1" w:lastColumn="0" w:lastRow="0" w:noHBand="0" w:noVBand="1" w:val="04A0"/>
      </w:tblPr>
      <w:tblGrid>
        <w:gridCol w:w="2160"/>
        <w:gridCol w:w="2880"/>
        <w:gridCol w:w="5040"/>
      </w:tblGrid>
      <w:tr>
        <w:trPr>
          <w:cantSplit/>
          <w:tblHeader/>
        </w:trPr>
        <w:tc>
          <w:tcPr>
            <w:tcW w:type="dxa" w:w="2160"/>
            <w:vAlign w:val="center"/>
            <w:shd w:fill="18334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color w:val="FFFFFF"/>
                <w:sz w:val="18"/>
              </w:rPr>
              <w:t>Frente</w:t>
            </w:r>
          </w:p>
        </w:tc>
        <w:tc>
          <w:tcPr>
            <w:tcW w:type="dxa" w:w="2880"/>
            <w:vAlign w:val="center"/>
            <w:shd w:fill="18334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color w:val="FFFFFF"/>
                <w:sz w:val="18"/>
              </w:rPr>
              <w:t>Duración aproximada</w:t>
            </w:r>
          </w:p>
        </w:tc>
        <w:tc>
          <w:tcPr>
            <w:tcW w:type="dxa" w:w="5040"/>
            <w:vAlign w:val="center"/>
            <w:shd w:fill="18334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color w:val="FFFFFF"/>
                <w:sz w:val="18"/>
              </w:rPr>
              <w:t>Resultado de referencia</w:t>
            </w:r>
          </w:p>
        </w:tc>
      </w:tr>
      <w:tr>
        <w:trPr>
          <w:cantSplit/>
        </w:trPr>
        <w:tc>
          <w:tcPr>
            <w:tcW w:type="dxa" w:w="216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Planta</w:t>
            </w:r>
          </w:p>
        </w:tc>
        <w:tc>
          <w:tcPr>
            <w:tcW w:type="dxa" w:w="28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Meses 1 a 4</w:t>
            </w:r>
          </w:p>
        </w:tc>
        <w:tc>
          <w:tcPr>
            <w:tcW w:type="dxa" w:w="504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Piloto y puesta en marcha del alcance administrativo acordado</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Comercial y licitaciones</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Meses 1 a 3</w:t>
            </w:r>
          </w:p>
        </w:tc>
        <w:tc>
          <w:tcPr>
            <w:tcW w:type="dxa" w:w="50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Módulo inicial con búsqueda acotada, catálogo, requisitos y expediente</w:t>
            </w:r>
          </w:p>
        </w:tc>
      </w:tr>
      <w:tr>
        <w:trPr>
          <w:cantSplit/>
        </w:trPr>
        <w:tc>
          <w:tcPr>
            <w:tcW w:type="dxa" w:w="216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Consultoría de TI</w:t>
            </w:r>
          </w:p>
        </w:tc>
        <w:tc>
          <w:tcPr>
            <w:tcW w:type="dxa" w:w="28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Meses 1 a 6</w:t>
            </w:r>
          </w:p>
        </w:tc>
        <w:tc>
          <w:tcPr>
            <w:tcW w:type="dxa" w:w="504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Diagnóstico y arquitectura en los primeros tres meses; seguimiento en los tres siguientes</w:t>
            </w:r>
          </w:p>
        </w:tc>
      </w:tr>
    </w:tbl>
    <w:p>
      <w:pPr>
        <w:spacing w:after="40"/>
      </w:pPr>
    </w:p>
    <w:p>
      <w:r>
        <w:t>Los plazos incluyen levantamiento, diseño, construcción y validación del alcance acordado. Se cuentan desde el inicio formal y la disponibilidad de responsables, muestras y accesos. Los cierres de planta y comercial no implican seis meses de desarrollo ilimitado; soporte posterior y ampliaciones deben quedar expresamente cotizados.</w:t>
      </w:r>
    </w:p>
    <w:p>
      <w:pPr>
        <w:pStyle w:val="Heading1"/>
      </w:pPr>
      <w:r>
        <w:t>3 Diagnóstico y levantamiento de procesos</w:t>
      </w:r>
    </w:p>
    <w:p>
      <w:r>
        <w:t>Se propone un diagnóstico transversal durante las primeras cuatro semanas, mientras se habilitan ambientes y se exploran prototipos de bajo riesgo. Su finalidad es entender la lógica de negocio, los puntos de control y las necesidades de las personas antes de cerrar la solución. El equipo documentará tanto la operación habitual como excepciones, retrabajos, autorizaciones y dependencias.</w:t>
      </w:r>
    </w:p>
    <w:p>
      <w:r>
        <w:t>Las actividades incluirán entrevistas por rol, observación en planta, recorridos de tareas reales, revisión de Excel y documentos, inventario de sistemas e integraciones, talleres de priorización y validación con los responsables. Cada hallazgo se vinculará a evidencia, problema, usuario afectado y decisión pendiente.</w:t>
      </w:r>
    </w:p>
    <w:p>
      <w:pPr>
        <w:pStyle w:val="Heading2"/>
      </w:pPr>
      <w:r>
        <w:t>Productos del diagnóstico</w:t>
      </w:r>
    </w:p>
    <w:p>
      <w:pPr>
        <w:pStyle w:val="ListBullet"/>
      </w:pPr>
      <w:r>
        <w:t>Mapa de procesos actuales y propuestos, con responsables, entradas, salidas y excepciones.</w:t>
      </w:r>
    </w:p>
    <w:p>
      <w:pPr>
        <w:pStyle w:val="ListBullet"/>
      </w:pPr>
      <w:r>
        <w:t>Inventario de archivos, fuentes, campos, fórmulas, macros, duplicidades y problemas de calidad.</w:t>
      </w:r>
    </w:p>
    <w:p>
      <w:pPr>
        <w:pStyle w:val="ListBullet"/>
      </w:pPr>
      <w:r>
        <w:t>Diccionario de datos y reglas de negocio, con dueño y fuente de cada dato crítico.</w:t>
      </w:r>
    </w:p>
    <w:p>
      <w:pPr>
        <w:pStyle w:val="ListBullet"/>
      </w:pPr>
      <w:r>
        <w:t>Historias de usuario priorizadas, criterios de aceptación y dependencias entre frentes.</w:t>
      </w:r>
    </w:p>
    <w:p>
      <w:pPr>
        <w:pStyle w:val="ListBullet"/>
      </w:pPr>
      <w:r>
        <w:t>Arquitectura actual y objetivo, análisis de accesos, integraciones y restricciones de despliegue.</w:t>
      </w:r>
    </w:p>
    <w:p>
      <w:pPr>
        <w:pStyle w:val="ListBullet"/>
      </w:pPr>
      <w:r>
        <w:t>Línea base de indicadores, riesgos, estrategia de adopción y plan de liberaciones.</w:t>
      </w:r>
    </w:p>
    <w:p>
      <w:pPr>
        <w:pStyle w:val="ListBullet"/>
      </w:pPr>
      <w:r>
        <w:t>Alcance validado y estimación revisada por frente, incluidos supuestos y exclusiones.</w:t>
      </w:r>
    </w:p>
    <w:p>
      <w:pPr>
        <w:pStyle w:val="Heading2"/>
      </w:pPr>
      <w:r>
        <w:t>Preguntas que el levantamiento debe resolver</w:t>
      </w:r>
    </w:p>
    <w:p>
      <w:r>
        <w:t>En planta: quién captura, dónde nace cada dato, qué Excel es fuente oficial, cómo se asigna carga, qué significa cada tiempo y quién modifica la planeación. En comercial: quién busca oportunidades, cómo se decide participar, qué productos y servicios se pueden ofertar, cómo se controla cada documento y quién autoriza precios. En TI: quién administra infraestructura, identidad, proveedores, respaldos, soporte y cambios.</w:t>
      </w:r>
    </w:p>
    <w:p>
      <w:pPr>
        <w:pStyle w:val="Heading2"/>
      </w:pPr>
      <w:r>
        <w:t>Criterio de cierre del diagnóstico</w:t>
      </w:r>
    </w:p>
    <w:p>
      <w:r>
        <w:t>Los responsables de planta, comercial y TI revisan sus procesos, validan el backlog inicial y registran excepciones abiertas. Emmanuel consolida la propuesta y dirección resuelve prioridades o restricciones. La construcción continúa por componentes aprobados; los puntos sin definición permanecen identificados y no se convierten en supuestos invisibles del software.</w:t>
      </w:r>
    </w:p>
    <w:p>
      <w:pPr>
        <w:pStyle w:val="Heading1"/>
      </w:pPr>
      <w:r>
        <w:t>4 Alcance de automatización administrativa de planta</w:t>
      </w:r>
    </w:p>
    <w:p>
      <w:r>
        <w:t>El alcance se concentra en información y coordinación de la operación. No contempla control físico de máquinas, modificación de PLC, captura automática desde equipos ni sustitución de sistemas de calidad sin análisis y contratación específicos.</w:t>
      </w:r>
    </w:p>
    <w:p>
      <w:pPr>
        <w:pStyle w:val="Heading2"/>
      </w:pPr>
      <w:r>
        <w:t>Captura e integración de información</w:t>
      </w:r>
    </w:p>
    <w:p>
      <w:r>
        <w:t>Se identificarán los Excel prioritarios y se diseñarán plantillas de importación o formularios para registrar datos una sola vez. Las importaciones incluirán vista previa, validación de campos, detección de duplicados y reporte de errores. Cada registro conservará su origen, usuario y fecha de modificación. Se mantendrá exportación a Excel donde forme parte de la operación acordada.</w:t>
      </w:r>
    </w:p>
    <w:p>
      <w:pPr>
        <w:pStyle w:val="Heading2"/>
      </w:pPr>
      <w:r>
        <w:t>Planeación y carga de máquinas</w:t>
      </w:r>
    </w:p>
    <w:p>
      <w:r>
        <w:t>Se propone un tablero por máquina, periodo y responsable, con órdenes o trabajos, prioridades, capacidad disponible y carga asignada. Las unidades de capacidad, turnos, calendarios, tiempos de preparación y restricciones se definirán durante el levantamiento. La primera versión puede operar con asignación manual asistida y alertas de sobrecarga; no presupone un optimizador automático.</w:t>
      </w:r>
    </w:p>
    <w:p>
      <w:pPr>
        <w:pStyle w:val="Heading2"/>
      </w:pPr>
      <w:r>
        <w:t>Tiempos y seguimiento</w:t>
      </w:r>
    </w:p>
    <w:p>
      <w:r>
        <w:t>Los usuarios autorizados podrán registrar tiempos planeados y reales, avances e incidencias. El sistema distinguirá preparación, ejecución y detención cuando esas categorías existan y se acuerden. Las correcciones dejarán rastro; los cálculos no mezclarán unidades ni interpretarán campos faltantes como cero.</w:t>
      </w:r>
    </w:p>
    <w:p>
      <w:pPr>
        <w:pStyle w:val="Heading2"/>
      </w:pPr>
      <w:r>
        <w:t>Entregables y aceptación de planta</w:t>
      </w:r>
    </w:p>
    <w:p>
      <w:pPr>
        <w:pStyle w:val="ListBullet"/>
      </w:pPr>
      <w:r>
        <w:t>Modelo de datos, flujos aprobados y matriz de permisos por rol.</w:t>
      </w:r>
    </w:p>
    <w:p>
      <w:pPr>
        <w:pStyle w:val="ListBullet"/>
      </w:pPr>
      <w:r>
        <w:t>Importación de los archivos priorizados con conciliación de registros y totales acordados.</w:t>
      </w:r>
    </w:p>
    <w:p>
      <w:pPr>
        <w:pStyle w:val="ListBullet"/>
      </w:pPr>
      <w:r>
        <w:t>Tableros de planeación, carga y tiempos, con filtros y exportación.</w:t>
      </w:r>
    </w:p>
    <w:p>
      <w:pPr>
        <w:pStyle w:val="ListBullet"/>
      </w:pPr>
      <w:r>
        <w:t>Piloto con usuarios de operación y responsable de planeación; registro y resolución de incidencias críticas.</w:t>
      </w:r>
    </w:p>
    <w:p>
      <w:pPr>
        <w:pStyle w:val="ListBullet"/>
      </w:pPr>
      <w:r>
        <w:t>Manuales por rol, plan de transición, respaldo previo y procedimiento de reversión.</w:t>
      </w:r>
    </w:p>
    <w:p>
      <w:r>
        <w:t>La aceptación utilizará casos representativos: archivo válido, archivo con errores, cambio de planeación, capacidad excedida, registro de tiempo y corrección autorizada. El número de archivos, máquinas, áreas, usuarios e integraciones se fijará al cerrar el diagnóstico. No se incluye migrar indiscriminadamente todo el histórico.</w:t>
      </w:r>
    </w:p>
    <w:p>
      <w:pPr>
        <w:pStyle w:val="Heading1"/>
      </w:pPr>
      <w:r>
        <w:t>5 Alcance comercial y módulo de licitaciones</w:t>
      </w:r>
    </w:p>
    <w:p>
      <w:r>
        <w:t>El flujo de referencia es buscar oportunidades, revisar su pertinencia, contrastar partidas con el catálogo, analizar requisitos, identificar faltantes y preparar borradores de expediente. La decisión de participar y la aprobación final pertenecen a los responsables de Dipromedic.</w:t>
      </w:r>
    </w:p>
    <w:p>
      <w:pPr>
        <w:pStyle w:val="Heading2"/>
      </w:pPr>
      <w:r>
        <w:t>Radar de oportunidades</w:t>
      </w:r>
    </w:p>
    <w:p>
      <w:r>
        <w:t>Vista unificada con institución, procedimiento, objeto, ubicación, fechas, fuente, última verificación y estado. Habrá filtros por familia, entidad, modalidad y responsable. Las búsquedas partirán de osteosíntesis, endoprótesis, placas, clavos intramedulares, prótesis articulares, columna e instrumental asociado. Se ampliarán con términos y claves que el equipo comercial valide.</w:t>
      </w:r>
    </w:p>
    <w:p>
      <w:r>
        <w:t>La cobertura inicial se concentra en fuentes públicas mexicanas priorizadas. Compras MX es el punto de partida federal; DOF y publicaciones institucionales sirven para descubrimiento y contraste [F3–F5]. Portales estatales, privados y otros países requieren validación de acceso y priorización propia. No se promete cobertura completa de internet ni disponibilidad permanente de todos los portales.</w:t>
      </w:r>
    </w:p>
    <w:p>
      <w:pPr>
        <w:pStyle w:val="Heading2"/>
      </w:pPr>
      <w:r>
        <w:t>Catálogo y correspondencia técnica</w:t>
      </w:r>
    </w:p>
    <w:p>
      <w:r>
        <w:t>Productos y variantes se organizarán por familia, uso, material, medidas, marca, fabricante, código y evidencia técnica. La plataforma sugerirá coincidencias explicables entre partidas y productos. Un resultado similar no equivale a cumplimiento: se revisarán especificaciones obligatorias, documentación, cantidades, plazos, instrumental, servicio y capacidad de suministro.</w:t>
      </w:r>
    </w:p>
    <w:p>
      <w:pPr>
        <w:pStyle w:val="Heading2"/>
      </w:pPr>
      <w:r>
        <w:t>Gestor documental y expediente</w:t>
      </w:r>
    </w:p>
    <w:p>
      <w:r>
        <w:t>Repositorio con versiones, responsables, vigencias y relación con empresa, producto, procedimiento y partida. La matriz de cumplimiento mostrará requisito, evidencia, estado, responsable y fecha objetivo. Los documentos podrán estar disponibles, pendientes, vencidos, en revisión o no aplicables con justificación.</w:t>
      </w:r>
    </w:p>
    <w:p>
      <w:r>
        <w:t>La generación incluirá índice, lista de pendientes, matriz de cumplimiento y borradores de propuestas técnicas, económicas o cartas basadas en plantillas autorizadas. El software no crea certificados, registros sanitarios, firmas ni hechos inexistentes. Los faltantes se señalarán explícitamente; los documentos emitidos por terceros deben incorporarse desde su fuente legítima.</w:t>
      </w:r>
    </w:p>
    <w:p>
      <w:pPr>
        <w:pStyle w:val="Heading2"/>
      </w:pPr>
      <w:r>
        <w:t>Entregables y aceptación comercial</w:t>
      </w:r>
    </w:p>
    <w:p>
      <w:pPr>
        <w:pStyle w:val="ListBullet"/>
      </w:pPr>
      <w:r>
        <w:t>Radar con fuentes acordadas, estados verificables y trazabilidad al documento original.</w:t>
      </w:r>
    </w:p>
    <w:p>
      <w:pPr>
        <w:pStyle w:val="ListBullet"/>
      </w:pPr>
      <w:r>
        <w:t>Catálogo estructurado e importador, con evidencias de correspondencia por partida.</w:t>
      </w:r>
    </w:p>
    <w:p>
      <w:pPr>
        <w:pStyle w:val="ListBullet"/>
      </w:pPr>
      <w:r>
        <w:t>Repositorio versionado, matriz de cumplimiento y asignación de pendientes.</w:t>
      </w:r>
    </w:p>
    <w:p>
      <w:pPr>
        <w:pStyle w:val="ListBullet"/>
      </w:pPr>
      <w:r>
        <w:t>Generación de borradores y exportación del expediente con manifiesto de archivos.</w:t>
      </w:r>
    </w:p>
    <w:p>
      <w:pPr>
        <w:pStyle w:val="ListBullet"/>
      </w:pPr>
      <w:r>
        <w:t>Flujo de revisión técnica y comercial, pruebas con casos completos e incompletos y capacitación.</w:t>
      </w:r>
    </w:p>
    <w:p>
      <w:r>
        <w:t>El envío a portales, firma electrónica, participación automática, presentación de ofertas y decisiones jurídicas quedan fuera del demo y requieren alcance explícito si se desean posteriormente.</w:t>
      </w:r>
    </w:p>
    <w:p>
      <w:pPr>
        <w:pStyle w:val="Heading1"/>
      </w:pPr>
      <w:r>
        <w:t>6 Consultoría y fortalecimiento de TI</w:t>
      </w:r>
    </w:p>
    <w:p>
      <w:r>
        <w:t>Se propone una relación de largo plazo con un compromiso inicial de seis meses. Durante los primeros tres se realizará diagnóstico, arquitectura y acompañamiento a decisiones de implementación. Durante los siguientes tres se dará seguimiento a la operación, adopción de prácticas y evolución del plan. La consultoría acompaña al responsable de TI y fortalece su capacidad de interlocución con dirección y áreas usuarias.</w:t>
      </w:r>
    </w:p>
    <w:p>
      <w:pPr>
        <w:pStyle w:val="Heading2"/>
      </w:pPr>
      <w:r>
        <w:t>Primeros tres meses</w:t>
      </w:r>
    </w:p>
    <w:p>
      <w:r>
        <w:t>Inventario de aplicaciones, infraestructura, datos y proveedores; definición de arquitectura; responsabilidades de administración; criterios para seleccionar nube o infraestructura propia; organización de ambientes y accesos; revisión de integración, seguridad, respaldo y continuidad; acompañamiento a la entrega de los dos frentes de software.</w:t>
      </w:r>
    </w:p>
    <w:p>
      <w:pPr>
        <w:pStyle w:val="Heading2"/>
      </w:pPr>
      <w:r>
        <w:t>Tres meses de seguimiento</w:t>
      </w:r>
    </w:p>
    <w:p>
      <w:r>
        <w:t>Revisión de indicadores e incidentes, pruebas de recuperación, decisiones de evolución, gestión de deuda técnica y revisión de proveedores. Mentoría sobre análisis de necesidades, estimaciones, documentación y gobierno de cambios. Entrega de una hoja de ruta posterior a la primera fase.</w:t>
      </w:r>
    </w:p>
    <w:p>
      <w:r>
        <w:t>La cadencia propuesta es una sesión semanal de trabajo con TI y una revisión mensual con dirección; su duración y bolsa de horas se cerrarán en la cotización. Este servicio no implica mesa de ayuda ilimitada, disponibilidad permanente ni operación administrada las 24 horas.</w:t>
      </w:r>
    </w:p>
    <w:p>
      <w:pPr>
        <w:pStyle w:val="Heading1"/>
      </w:pPr>
      <w:r>
        <w:t>7 Arquitectura y despliegue de referencia</w:t>
      </w:r>
    </w:p>
    <w:p>
      <w:r>
        <w:t>Se propone una plataforma modular con servicios comunes de identidad, permisos, documentos, auditoría y notificaciones. Planta y comercial tendrán modelos y flujos propios sobre contratos de integración claros. La arquitectura final dependerá del diagnóstico; no se condiciona a reemplazar el ERP o la infraestructura existente.</w:t>
      </w:r>
    </w:p>
    <w:tbl>
      <w:tblPr>
        <w:tblW w:type="auto" w:w="0"/>
        <w:tblLayout w:type="fixed"/>
        <w:tblLook w:firstColumn="1" w:firstRow="1" w:lastColumn="0" w:lastRow="0" w:noHBand="0" w:noVBand="1" w:val="04A0"/>
      </w:tblPr>
      <w:tblGrid>
        <w:gridCol w:w="2160"/>
        <w:gridCol w:w="2880"/>
        <w:gridCol w:w="5040"/>
      </w:tblGrid>
      <w:tr>
        <w:trPr>
          <w:cantSplit/>
          <w:tblHeader/>
        </w:trPr>
        <w:tc>
          <w:tcPr>
            <w:tcW w:type="dxa" w:w="2160"/>
            <w:vAlign w:val="center"/>
            <w:shd w:fill="18334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color w:val="FFFFFF"/>
                <w:sz w:val="18"/>
              </w:rPr>
              <w:t>Capa</w:t>
            </w:r>
          </w:p>
        </w:tc>
        <w:tc>
          <w:tcPr>
            <w:tcW w:type="dxa" w:w="2880"/>
            <w:vAlign w:val="center"/>
            <w:shd w:fill="18334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color w:val="FFFFFF"/>
                <w:sz w:val="18"/>
              </w:rPr>
              <w:t>Responsabilidad</w:t>
            </w:r>
          </w:p>
        </w:tc>
        <w:tc>
          <w:tcPr>
            <w:tcW w:type="dxa" w:w="5040"/>
            <w:vAlign w:val="center"/>
            <w:shd w:fill="18334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color w:val="FFFFFF"/>
                <w:sz w:val="18"/>
              </w:rPr>
              <w:t>Evidencia de entrega</w:t>
            </w:r>
          </w:p>
        </w:tc>
      </w:tr>
      <w:tr>
        <w:trPr>
          <w:cantSplit/>
        </w:trPr>
        <w:tc>
          <w:tcPr>
            <w:tcW w:type="dxa" w:w="216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Experiencia web</w:t>
            </w:r>
          </w:p>
        </w:tc>
        <w:tc>
          <w:tcPr>
            <w:tcW w:type="dxa" w:w="28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Interfaces por rol y flujo de trabajo</w:t>
            </w:r>
          </w:p>
        </w:tc>
        <w:tc>
          <w:tcPr>
            <w:tcW w:type="dxa" w:w="504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Prototipos validados y pruebas con usuarios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Aplicación y API</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Reglas de negocio y autorización</w:t>
            </w:r>
          </w:p>
        </w:tc>
        <w:tc>
          <w:tcPr>
            <w:tcW w:type="dxa" w:w="50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Contratos de API y pruebas de permisos</w:t>
            </w:r>
          </w:p>
        </w:tc>
      </w:tr>
      <w:tr>
        <w:trPr>
          <w:cantSplit/>
        </w:trPr>
        <w:tc>
          <w:tcPr>
            <w:tcW w:type="dxa" w:w="216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Datos y documentos</w:t>
            </w:r>
          </w:p>
        </w:tc>
        <w:tc>
          <w:tcPr>
            <w:tcW w:type="dxa" w:w="28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Persistencia, versiones y búsqueda</w:t>
            </w:r>
          </w:p>
        </w:tc>
        <w:tc>
          <w:tcPr>
            <w:tcW w:type="dxa" w:w="504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Modelo de datos y prueba de recuperación</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Integración e IA</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Importación, conectores y extracción</w:t>
            </w:r>
          </w:p>
        </w:tc>
        <w:tc>
          <w:tcPr>
            <w:tcW w:type="dxa" w:w="50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Registro de origen y evaluación de resultados</w:t>
            </w:r>
          </w:p>
        </w:tc>
      </w:tr>
      <w:tr>
        <w:trPr>
          <w:cantSplit/>
        </w:trPr>
        <w:tc>
          <w:tcPr>
            <w:tcW w:type="dxa" w:w="216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Operación</w:t>
            </w:r>
          </w:p>
        </w:tc>
        <w:tc>
          <w:tcPr>
            <w:tcW w:type="dxa" w:w="28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Despliegue, monitoreo y continuidad</w:t>
            </w:r>
          </w:p>
        </w:tc>
        <w:tc>
          <w:tcPr>
            <w:tcW w:type="dxa" w:w="504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Procedimientos y ensayo de reversión</w:t>
            </w:r>
          </w:p>
        </w:tc>
      </w:tr>
    </w:tbl>
    <w:p>
      <w:pPr>
        <w:spacing w:after="40"/>
      </w:pPr>
    </w:p>
    <w:p>
      <w:pPr>
        <w:pStyle w:val="Heading2"/>
      </w:pPr>
      <w:r>
        <w:t>Controles de diseño</w:t>
      </w:r>
    </w:p>
    <w:p>
      <w:r>
        <w:t>Separación de desarrollo, pruebas y producción; secretos fuera del código; cifrado en tránsito; privilegio mínimo; control de acceso a documentos; registro de acciones críticas; gestión de dependencias; copias de seguridad y pruebas de restauración. Los objetivos de disponibilidad, rendimiento, retención y recuperación se acordarán con TI y se verificarán antes de producción.</w:t>
      </w:r>
    </w:p>
    <w:p>
      <w:r>
        <w:t>El contenido descargado de internet se tratará como información externa, no como instrucciones para el sistema. Los modelos de IA ayudarán a extraer y redactar, con evidencia y validación humana. No recibirán datos sensibles sin una política de tratamiento acordada. Ninguna recomendación de arquitectura representa una certificación regulatoria.</w:t>
      </w:r>
    </w:p>
    <w:p>
      <w:pPr>
        <w:pStyle w:val="Heading2"/>
      </w:pPr>
      <w:r>
        <w:t>Paquete de entrega técnica</w:t>
      </w:r>
    </w:p>
    <w:p>
      <w:r>
        <w:t>Código y repositorios según el contrato, documentación de instalación, configuración de ambientes, migraciones, pruebas, manual de operación, procedimiento de respaldo y restauración, registro de decisiones de arquitectura y transferencia a TI. La titularidad del desarrollo, componentes previos y licencias de terceros se definirá expresamente en la contratación white label.</w:t>
      </w:r>
    </w:p>
    <w:p>
      <w:pPr>
        <w:pStyle w:val="Heading1"/>
      </w:pPr>
      <w:r>
        <w:t>8 Equipo y gobierno de ejecución</w:t>
      </w:r>
    </w:p>
    <w:p>
      <w:r>
        <w:t>El equipo previsto estará formado por el equipo de ejecución coordinado por Emmanuel y consultores o invitados especializados. La presentación al cliente mantendrá identidad white label; no se utilizarán marcas de proveedores sin acuerdo. Más de cinco participantes no equivale automáticamente a más de cinco dedicaciones de tiempo completo.</w:t>
      </w:r>
    </w:p>
    <w:tbl>
      <w:tblPr>
        <w:tblW w:type="auto" w:w="0"/>
        <w:tblLayout w:type="fixed"/>
        <w:tblLook w:firstColumn="1" w:firstRow="1" w:lastColumn="0" w:lastRow="0" w:noHBand="0" w:noVBand="1" w:val="04A0"/>
      </w:tblPr>
      <w:tblGrid>
        <w:gridCol w:w="3168"/>
        <w:gridCol w:w="6912"/>
      </w:tblGrid>
      <w:tr>
        <w:trPr>
          <w:cantSplit/>
          <w:tblHeader/>
        </w:trPr>
        <w:tc>
          <w:tcPr>
            <w:tcW w:type="dxa" w:w="3168"/>
            <w:vAlign w:val="center"/>
            <w:shd w:fill="18334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color w:val="FFFFFF"/>
                <w:sz w:val="18"/>
              </w:rPr>
              <w:t>Función propuesta</w:t>
            </w:r>
          </w:p>
        </w:tc>
        <w:tc>
          <w:tcPr>
            <w:tcW w:type="dxa" w:w="6912"/>
            <w:vAlign w:val="center"/>
            <w:shd w:fill="18334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color w:val="FFFFFF"/>
                <w:sz w:val="18"/>
              </w:rPr>
              <w:t>Responsabilidad principal</w:t>
            </w:r>
          </w:p>
        </w:tc>
      </w:tr>
      <w:tr>
        <w:trPr>
          <w:cantSplit/>
        </w:trPr>
        <w:tc>
          <w:tcPr>
            <w:tcW w:type="dxa" w:w="316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Emmanuel Campos</w:t>
            </w:r>
          </w:p>
        </w:tc>
        <w:tc>
          <w:tcPr>
            <w:tcW w:type="dxa" w:w="691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Dirección integral, priorización, coordinación y relación con dirección</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Arquitectura y liderazgo técnico</w:t>
            </w:r>
          </w:p>
        </w:tc>
        <w:tc>
          <w:tcPr>
            <w:tcW w:type="dxa" w:w="69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Modelo de solución, decisiones técnicas e integración de frentes</w:t>
            </w:r>
          </w:p>
        </w:tc>
      </w:tr>
      <w:tr>
        <w:trPr>
          <w:cantSplit/>
        </w:trPr>
        <w:tc>
          <w:tcPr>
            <w:tcW w:type="dxa" w:w="316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Consultoría de procesos</w:t>
            </w:r>
          </w:p>
        </w:tc>
        <w:tc>
          <w:tcPr>
            <w:tcW w:type="dxa" w:w="691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Entrevistas, observación, reglas de negocio y backlog</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Diseño de experiencia</w:t>
            </w:r>
          </w:p>
        </w:tc>
        <w:tc>
          <w:tcPr>
            <w:tcW w:type="dxa" w:w="69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Flujos por rol, prototipos y pruebas de usabilidad</w:t>
            </w:r>
          </w:p>
        </w:tc>
      </w:tr>
      <w:tr>
        <w:trPr>
          <w:cantSplit/>
        </w:trPr>
        <w:tc>
          <w:tcPr>
            <w:tcW w:type="dxa" w:w="316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Desarrollo de planta</w:t>
            </w:r>
          </w:p>
        </w:tc>
        <w:tc>
          <w:tcPr>
            <w:tcW w:type="dxa" w:w="691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Captura, importación, planeación y tableros</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Desarrollo comercial y datos</w:t>
            </w:r>
          </w:p>
        </w:tc>
        <w:tc>
          <w:tcPr>
            <w:tcW w:type="dxa" w:w="69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Radar, catálogo, documentos y generación</w:t>
            </w:r>
          </w:p>
        </w:tc>
      </w:tr>
      <w:tr>
        <w:trPr>
          <w:cantSplit/>
        </w:trPr>
        <w:tc>
          <w:tcPr>
            <w:tcW w:type="dxa" w:w="316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Calidad y despliegue</w:t>
            </w:r>
          </w:p>
        </w:tc>
        <w:tc>
          <w:tcPr>
            <w:tcW w:type="dxa" w:w="691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Pruebas, ambientes, liberaciones y continuidad</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Especialistas invitados</w:t>
            </w:r>
          </w:p>
        </w:tc>
        <w:tc>
          <w:tcPr>
            <w:tcW w:type="dxa" w:w="69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Apoyo en licitaciones, calidad, manufactura o seguridad según necesidad</w:t>
            </w:r>
          </w:p>
        </w:tc>
      </w:tr>
    </w:tbl>
    <w:p>
      <w:pPr>
        <w:spacing w:after="40"/>
      </w:pPr>
    </w:p>
    <w:p>
      <w:r>
        <w:t>Las funciones podrán combinarse, pero se verificará capacidad efectiva para sostener frentes paralelos. Dipromedic deberá asignar un dueño de producto por frente, usuarios clave y un enlace de TI. Los especialistas de negocio de Dipromedic validarán requisitos técnicos, comerciales y documentales.</w:t>
      </w:r>
    </w:p>
    <w:p>
      <w:r>
        <w:t>Se propone seguimiento semanal por frente, demostración quincenal y comité mensual de dirección. Un backlog compartido, registro de decisiones, matriz de riesgos y tablero de dependencias harán visibles avances y bloqueos. Toda solicitud que cambie el alcance tendrá evaluación de impacto en costo, tiempo y capacidad antes de incorporarse.</w:t>
      </w:r>
    </w:p>
    <w:p>
      <w:pPr>
        <w:pStyle w:val="Heading1"/>
      </w:pPr>
      <w:r>
        <w:t>9 Calendario paralelo de referencia</w:t>
      </w:r>
    </w:p>
    <w:tbl>
      <w:tblPr>
        <w:tblW w:type="auto" w:w="0"/>
        <w:tblLayout w:type="fixed"/>
        <w:tblLook w:firstColumn="1" w:firstRow="1" w:lastColumn="0" w:lastRow="0" w:noHBand="0" w:noVBand="1" w:val="04A0"/>
      </w:tblPr>
      <w:tblGrid>
        <w:gridCol w:w="1512"/>
        <w:gridCol w:w="1728"/>
        <w:gridCol w:w="1728"/>
        <w:gridCol w:w="1728"/>
        <w:gridCol w:w="1728"/>
        <w:gridCol w:w="1656"/>
      </w:tblGrid>
      <w:tr>
        <w:trPr>
          <w:cantSplit/>
          <w:tblHeader/>
        </w:trPr>
        <w:tc>
          <w:tcPr>
            <w:tcW w:type="dxa" w:w="1512"/>
            <w:vAlign w:val="center"/>
            <w:shd w:fill="18334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color w:val="FFFFFF"/>
                <w:sz w:val="18"/>
              </w:rPr>
              <w:t>Frente</w:t>
            </w:r>
          </w:p>
        </w:tc>
        <w:tc>
          <w:tcPr>
            <w:tcW w:type="dxa" w:w="1728"/>
            <w:vAlign w:val="center"/>
            <w:shd w:fill="18334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color w:val="FFFFFF"/>
                <w:sz w:val="18"/>
              </w:rPr>
              <w:t>Mes 1</w:t>
            </w:r>
          </w:p>
        </w:tc>
        <w:tc>
          <w:tcPr>
            <w:tcW w:type="dxa" w:w="1728"/>
            <w:vAlign w:val="center"/>
            <w:shd w:fill="18334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color w:val="FFFFFF"/>
                <w:sz w:val="18"/>
              </w:rPr>
              <w:t>Mes 2</w:t>
            </w:r>
          </w:p>
        </w:tc>
        <w:tc>
          <w:tcPr>
            <w:tcW w:type="dxa" w:w="1728"/>
            <w:vAlign w:val="center"/>
            <w:shd w:fill="18334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color w:val="FFFFFF"/>
                <w:sz w:val="18"/>
              </w:rPr>
              <w:t>Mes 3</w:t>
            </w:r>
          </w:p>
        </w:tc>
        <w:tc>
          <w:tcPr>
            <w:tcW w:type="dxa" w:w="1728"/>
            <w:vAlign w:val="center"/>
            <w:shd w:fill="18334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color w:val="FFFFFF"/>
                <w:sz w:val="18"/>
              </w:rPr>
              <w:t>Mes 4</w:t>
            </w:r>
          </w:p>
        </w:tc>
        <w:tc>
          <w:tcPr>
            <w:tcW w:type="dxa" w:w="1656"/>
            <w:vAlign w:val="center"/>
            <w:shd w:fill="18334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color w:val="FFFFFF"/>
                <w:sz w:val="18"/>
              </w:rPr>
              <w:t>Mes 5 y 6</w:t>
            </w:r>
          </w:p>
        </w:tc>
      </w:tr>
      <w:tr>
        <w:trPr>
          <w:cantSplit/>
        </w:trPr>
        <w:tc>
          <w:tcPr>
            <w:tcW w:type="dxa" w:w="151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Diagnóstico común</w:t>
            </w:r>
          </w:p>
        </w:tc>
        <w:tc>
          <w:tcPr>
            <w:tcW w:type="dxa" w:w="172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Levantamiento y línea base</w:t>
            </w:r>
          </w:p>
        </w:tc>
        <w:tc>
          <w:tcPr>
            <w:tcW w:type="dxa" w:w="172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Ajustes focalizados</w:t>
            </w:r>
          </w:p>
        </w:tc>
        <w:tc>
          <w:tcPr>
            <w:tcW w:type="dxa" w:w="172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Validación</w:t>
            </w:r>
          </w:p>
        </w:tc>
        <w:tc>
          <w:tcPr>
            <w:tcW w:type="dxa" w:w="172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Cierre de pendientes</w:t>
            </w:r>
          </w:p>
        </w:tc>
        <w:tc>
          <w:tcPr>
            <w:tcW w:type="dxa" w:w="165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Evolución</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Planta</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Procesos y prototipo</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Construcción</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Piloto y ajustes</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Liberación y transferencia</w:t>
            </w:r>
          </w:p>
        </w:tc>
        <w:tc>
          <w:tcPr>
            <w:tcW w:type="dxa" w:w="16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Soporte por contratar</w:t>
            </w:r>
          </w:p>
        </w:tc>
      </w:tr>
      <w:tr>
        <w:trPr>
          <w:cantSplit/>
        </w:trPr>
        <w:tc>
          <w:tcPr>
            <w:tcW w:type="dxa" w:w="151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Comercial</w:t>
            </w:r>
          </w:p>
        </w:tc>
        <w:tc>
          <w:tcPr>
            <w:tcW w:type="dxa" w:w="172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Procesos y núcleo</w:t>
            </w:r>
          </w:p>
        </w:tc>
        <w:tc>
          <w:tcPr>
            <w:tcW w:type="dxa" w:w="172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Integración y flujo</w:t>
            </w:r>
          </w:p>
        </w:tc>
        <w:tc>
          <w:tcPr>
            <w:tcW w:type="dxa" w:w="172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Piloto y liberación</w:t>
            </w:r>
          </w:p>
        </w:tc>
        <w:tc>
          <w:tcPr>
            <w:tcW w:type="dxa" w:w="172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Soporte por contratar</w:t>
            </w:r>
          </w:p>
        </w:tc>
        <w:tc>
          <w:tcPr>
            <w:tcW w:type="dxa" w:w="165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Soporte por contratar</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TI</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Diagnóstico</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Arquitectura y prácticas</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Consolidación</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Seguimiento</w:t>
            </w:r>
          </w:p>
        </w:tc>
        <w:tc>
          <w:tcPr>
            <w:tcW w:type="dxa" w:w="16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Seguimiento y hoja de ruta</w:t>
            </w:r>
          </w:p>
        </w:tc>
      </w:tr>
    </w:tbl>
    <w:p>
      <w:pPr>
        <w:spacing w:after="40"/>
      </w:pPr>
    </w:p>
    <w:p>
      <w:r>
        <w:t>Hito 1: diagnóstico y alcance validado. Hito 2: flujo comercial completo en piloto. Hito 3: liberación comercial alrededor del mes 3. Hito 4: liberación de planta alrededor del mes 4. Hito 5: cierre del acompañamiento inicial de TI alrededor del mes 6. Los hitos se reprogramarán de manera visible si faltan datos, accesos o validaciones indispensables.</w:t>
      </w:r>
    </w:p>
    <w:p>
      <w:pPr>
        <w:pStyle w:val="Heading1"/>
      </w:pPr>
      <w:r>
        <w:t>10 Adopción y medición</w:t>
      </w:r>
    </w:p>
    <w:p>
      <w:r>
        <w:t>La adopción se trabajará desde el levantamiento: usuarios clave participarán en el diseño y probarán tareas reales. Habrá pilotos por rol, guías breves, sesiones prácticas, registro de problemas y una transición controlada desde Excel. No se retirará un archivo operativo crítico hasta conciliar su información y validar el nuevo flujo.</w:t>
      </w:r>
    </w:p>
    <w:tbl>
      <w:tblPr>
        <w:tblW w:type="auto" w:w="0"/>
        <w:tblLayout w:type="fixed"/>
        <w:tblLook w:firstColumn="1" w:firstRow="1" w:lastColumn="0" w:lastRow="0" w:noHBand="0" w:noVBand="1" w:val="04A0"/>
      </w:tblPr>
      <w:tblGrid>
        <w:gridCol w:w="2160"/>
        <w:gridCol w:w="2880"/>
        <w:gridCol w:w="5040"/>
      </w:tblGrid>
      <w:tr>
        <w:trPr>
          <w:cantSplit/>
          <w:tblHeader/>
        </w:trPr>
        <w:tc>
          <w:tcPr>
            <w:tcW w:type="dxa" w:w="2160"/>
            <w:vAlign w:val="center"/>
            <w:shd w:fill="18334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color w:val="FFFFFF"/>
                <w:sz w:val="18"/>
              </w:rPr>
              <w:t>Indicador</w:t>
            </w:r>
          </w:p>
        </w:tc>
        <w:tc>
          <w:tcPr>
            <w:tcW w:type="dxa" w:w="2880"/>
            <w:vAlign w:val="center"/>
            <w:shd w:fill="18334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color w:val="FFFFFF"/>
                <w:sz w:val="18"/>
              </w:rPr>
              <w:t>Cálculo de referencia</w:t>
            </w:r>
          </w:p>
        </w:tc>
        <w:tc>
          <w:tcPr>
            <w:tcW w:type="dxa" w:w="5040"/>
            <w:vAlign w:val="center"/>
            <w:shd w:fill="18334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color w:val="FFFFFF"/>
                <w:sz w:val="18"/>
              </w:rPr>
              <w:t>Responsable de validación</w:t>
            </w:r>
          </w:p>
        </w:tc>
      </w:tr>
      <w:tr>
        <w:trPr>
          <w:cantSplit/>
        </w:trPr>
        <w:tc>
          <w:tcPr>
            <w:tcW w:type="dxa" w:w="216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Tiempo administrativo</w:t>
            </w:r>
          </w:p>
        </w:tc>
        <w:tc>
          <w:tcPr>
            <w:tcW w:type="dxa" w:w="28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Minutos por actualización o consolidación</w:t>
            </w:r>
          </w:p>
        </w:tc>
        <w:tc>
          <w:tcPr>
            <w:tcW w:type="dxa" w:w="504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Planta</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Calidad de captura</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Registros con errores entre registros revisados</w:t>
            </w:r>
          </w:p>
        </w:tc>
        <w:tc>
          <w:tcPr>
            <w:tcW w:type="dxa" w:w="50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Planta y TI</w:t>
            </w:r>
          </w:p>
        </w:tc>
      </w:tr>
      <w:tr>
        <w:trPr>
          <w:cantSplit/>
        </w:trPr>
        <w:tc>
          <w:tcPr>
            <w:tcW w:type="dxa" w:w="216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Uso efectivo</w:t>
            </w:r>
          </w:p>
        </w:tc>
        <w:tc>
          <w:tcPr>
            <w:tcW w:type="dxa" w:w="28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Usuarios que completan el flujo entre usuarios previstos</w:t>
            </w:r>
          </w:p>
        </w:tc>
        <w:tc>
          <w:tcPr>
            <w:tcW w:type="dxa" w:w="504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Dueño de cada frente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Preparación documental</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Requisitos obligatorios validados entre obligatorios aplicables</w:t>
            </w:r>
          </w:p>
        </w:tc>
        <w:tc>
          <w:tcPr>
            <w:tcW w:type="dxa" w:w="50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Comercial</w:t>
            </w:r>
          </w:p>
        </w:tc>
      </w:tr>
      <w:tr>
        <w:trPr>
          <w:cantSplit/>
        </w:trPr>
        <w:tc>
          <w:tcPr>
            <w:tcW w:type="dxa" w:w="216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Tiempo de evaluación</w:t>
            </w:r>
          </w:p>
        </w:tc>
        <w:tc>
          <w:tcPr>
            <w:tcW w:type="dxa" w:w="28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Horas desde detección hasta decisión de participar</w:t>
            </w:r>
          </w:p>
        </w:tc>
        <w:tc>
          <w:tcPr>
            <w:tcW w:type="dxa" w:w="504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Comercial</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Continuidad</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Restauraciones exitosas entre pruebas programadas</w:t>
            </w:r>
          </w:p>
        </w:tc>
        <w:tc>
          <w:tcPr>
            <w:tcW w:type="dxa" w:w="50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TI</w:t>
            </w:r>
          </w:p>
        </w:tc>
      </w:tr>
    </w:tbl>
    <w:p>
      <w:pPr>
        <w:spacing w:after="40"/>
      </w:pPr>
    </w:p>
    <w:p>
      <w:r>
        <w:t>Cada indicador tendrá línea base, frecuencia y meta acordadas durante el diagnóstico. La carga de máquina se calculará con tiempo asignado sobre capacidad disponible del mismo periodo; no se denominará OEE sin disponer de sus componentes y definiciones.</w:t>
      </w:r>
    </w:p>
    <w:p>
      <w:pPr>
        <w:pStyle w:val="Heading1"/>
      </w:pPr>
      <w:r>
        <w:t>11 Base para la cotización</w:t>
      </w:r>
    </w:p>
    <w:p>
      <w:r>
        <w:t>Se recomienda separar la inversión por frente y mostrar los componentes comunes una sola vez. La modalidad contractual, moneda, impuestos, viáticos, licencias y forma de pago están pendientes. No hay un importe total válido hasta completar estos campos.</w:t>
      </w:r>
    </w:p>
    <w:tbl>
      <w:tblPr>
        <w:tblW w:type="auto" w:w="0"/>
        <w:tblLayout w:type="fixed"/>
        <w:tblLook w:firstColumn="1" w:firstRow="1" w:lastColumn="0" w:lastRow="0" w:noHBand="0" w:noVBand="1" w:val="04A0"/>
      </w:tblPr>
      <w:tblGrid>
        <w:gridCol w:w="2304"/>
        <w:gridCol w:w="2448"/>
        <w:gridCol w:w="2736"/>
        <w:gridCol w:w="2592"/>
      </w:tblGrid>
      <w:tr>
        <w:trPr>
          <w:cantSplit/>
          <w:tblHeader/>
        </w:trPr>
        <w:tc>
          <w:tcPr>
            <w:tcW w:type="dxa" w:w="2304"/>
            <w:vAlign w:val="center"/>
            <w:shd w:fill="18334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color w:val="FFFFFF"/>
                <w:sz w:val="18"/>
              </w:rPr>
              <w:t>Partida</w:t>
            </w:r>
          </w:p>
        </w:tc>
        <w:tc>
          <w:tcPr>
            <w:tcW w:type="dxa" w:w="2448"/>
            <w:vAlign w:val="center"/>
            <w:shd w:fill="18334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color w:val="FFFFFF"/>
                <w:sz w:val="18"/>
              </w:rPr>
              <w:t>Unidad propuesta</w:t>
            </w:r>
          </w:p>
        </w:tc>
        <w:tc>
          <w:tcPr>
            <w:tcW w:type="dxa" w:w="2736"/>
            <w:vAlign w:val="center"/>
            <w:shd w:fill="18334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color w:val="FFFFFF"/>
                <w:sz w:val="18"/>
              </w:rPr>
              <w:t>Cantidad de referencia</w:t>
            </w:r>
          </w:p>
        </w:tc>
        <w:tc>
          <w:tcPr>
            <w:tcW w:type="dxa" w:w="2592"/>
            <w:vAlign w:val="center"/>
            <w:shd w:fill="18334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color w:val="FFFFFF"/>
                <w:sz w:val="18"/>
              </w:rPr>
              <w:t>Importe</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Diagnóstico y arquitectura transversal</w:t>
            </w:r>
          </w:p>
        </w:tc>
        <w:tc>
          <w:tcPr>
            <w:tcW w:type="dxa" w:w="244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Paquete</w:t>
            </w:r>
          </w:p>
        </w:tc>
        <w:tc>
          <w:tcPr>
            <w:tcW w:type="dxa" w:w="273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1</w:t>
            </w:r>
          </w:p>
        </w:tc>
        <w:tc>
          <w:tcPr>
            <w:tcW w:type="dxa" w:w="259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Por definir</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Automatización de planta</w:t>
            </w:r>
          </w:p>
        </w:tc>
        <w:tc>
          <w:tcPr>
            <w:tcW w:type="dxa" w:w="24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Proyecto por hitos</w:t>
            </w:r>
          </w:p>
        </w:tc>
        <w:tc>
          <w:tcPr>
            <w:tcW w:type="dxa" w:w="27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4 meses aproximados</w:t>
            </w:r>
          </w:p>
        </w:tc>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Por definir</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Módulo comercial y licitaciones</w:t>
            </w:r>
          </w:p>
        </w:tc>
        <w:tc>
          <w:tcPr>
            <w:tcW w:type="dxa" w:w="244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Proyecto por hitos</w:t>
            </w:r>
          </w:p>
        </w:tc>
        <w:tc>
          <w:tcPr>
            <w:tcW w:type="dxa" w:w="273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3 meses aproximados</w:t>
            </w:r>
          </w:p>
        </w:tc>
        <w:tc>
          <w:tcPr>
            <w:tcW w:type="dxa" w:w="259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Por definir</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Consultoría TI inicial</w:t>
            </w:r>
          </w:p>
        </w:tc>
        <w:tc>
          <w:tcPr>
            <w:tcW w:type="dxa" w:w="24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Mensualidad o bolsa de horas</w:t>
            </w:r>
          </w:p>
        </w:tc>
        <w:tc>
          <w:tcPr>
            <w:tcW w:type="dxa" w:w="27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3 meses</w:t>
            </w:r>
          </w:p>
        </w:tc>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Por definir</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Seguimiento TI</w:t>
            </w:r>
          </w:p>
        </w:tc>
        <w:tc>
          <w:tcPr>
            <w:tcW w:type="dxa" w:w="244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Mensualidad o bolsa de horas</w:t>
            </w:r>
          </w:p>
        </w:tc>
        <w:tc>
          <w:tcPr>
            <w:tcW w:type="dxa" w:w="273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3 meses</w:t>
            </w:r>
          </w:p>
        </w:tc>
        <w:tc>
          <w:tcPr>
            <w:tcW w:type="dxa" w:w="259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Por definir</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Infraestructura e IA</w:t>
            </w:r>
          </w:p>
        </w:tc>
        <w:tc>
          <w:tcPr>
            <w:tcW w:type="dxa" w:w="24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Consumo o presupuesto mensual</w:t>
            </w:r>
          </w:p>
        </w:tc>
        <w:tc>
          <w:tcPr>
            <w:tcW w:type="dxa" w:w="27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Según diseño</w:t>
            </w:r>
          </w:p>
        </w:tc>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Por definir</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Especialistas y visitas</w:t>
            </w:r>
          </w:p>
        </w:tc>
        <w:tc>
          <w:tcPr>
            <w:tcW w:type="dxa" w:w="244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Jornadas aprobadas</w:t>
            </w:r>
          </w:p>
        </w:tc>
        <w:tc>
          <w:tcPr>
            <w:tcW w:type="dxa" w:w="273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Según diagnóstico</w:t>
            </w:r>
          </w:p>
        </w:tc>
        <w:tc>
          <w:tcPr>
            <w:tcW w:type="dxa" w:w="259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color w:val="000000"/>
                <w:sz w:val="18"/>
              </w:rPr>
              <w:t>Por definir</w:t>
            </w:r>
          </w:p>
        </w:tc>
      </w:tr>
    </w:tbl>
    <w:p>
      <w:pPr>
        <w:spacing w:after="40"/>
      </w:pPr>
    </w:p>
    <w:p>
      <w:r>
        <w:t>Si diagnóstico y arquitectura se incluyen en los proyectos, no se volverán a cobrar como partida independiente. El precio se construirá con dedicación por rol, horas, tarifas, servicios de terceros y contingencia explícita. Se distinguirá inversión de implementación de gasto recurrente.</w:t>
      </w:r>
    </w:p>
    <w:p>
      <w:r>
        <w:t>Antes de emitir la cotización final deben fijarse archivos y procesos incluidos, usuarios y sitios, integraciones, fuentes web, volumen de documentos, calidad del histórico, niveles de servicio, duración de garantía y condiciones de soporte. Los pagos pueden asociarse a arranque, diseño aprobado, piloto y aceptación, con porcentajes por acordar. Se documentará el procedimiento de aceptación y corrección sin asumir aprobación por silencio.</w:t>
      </w:r>
    </w:p>
    <w:p>
      <w:pPr>
        <w:pStyle w:val="Heading1"/>
      </w:pPr>
      <w:r>
        <w:t>12 Demo funcional para la reunión</w:t>
      </w:r>
    </w:p>
    <w:p>
      <w:r>
        <w:t>El demo comercial mostrará un recorrido completo: buscar, abrir una oportunidad, revisar partidas, comparar con un catálogo ficticio, identificar faltantes, asignar responsables y generar un expediente de demostración. El catálogo y los documentos simulados estarán marcados como ficticios. Los registros públicos mantendrán sus fechas y referencias reales.</w:t>
      </w:r>
    </w:p>
    <w:p>
      <w:r>
        <w:t>La búsqueda realizada para este dossier identificó ejemplos oficiales de osteosíntesis y endoprótesis con fechas de presentación ya transcurridas al 28 de octubre de 2026 [F6–F8]. Se usarán como referencias históricas. Esta investigación no confirmó una convocatoria compatible todavía abierta; eso no demuestra que no exista. El demo deberá consultar fuentes al ejecutarse y presentar con honestidad ausencia de resultados o acceso no disponible.</w:t>
      </w:r>
    </w:p>
    <w:p>
      <w:r>
        <w:t>La experiencia debe distinguir oportunidad publicada, posibilidad preliminar de encaje y elegibilidad validada. Un procedimiento con fecha transcurrida no podrá aparecer como abierto por contener “2026” o por una etiqueta de un buscador. Los expedientes simulados no se mezclarán con métricas de oportunidades reales.</w:t>
      </w:r>
    </w:p>
    <w:p>
      <w:pPr>
        <w:pStyle w:val="Heading1"/>
      </w:pPr>
      <w:r>
        <w:t>13 Guion de presentación ejecutiva</w:t>
      </w:r>
    </w:p>
    <w:p>
      <w:r>
        <w:t>1. Punto de partida: la capacitación abrió oportunidades concretas en la operación.</w:t>
      </w:r>
    </w:p>
    <w:p>
      <w:r>
        <w:t>2. Visión: una plataforma modular y un equipo que acompaña su adopción.</w:t>
      </w:r>
    </w:p>
    <w:p>
      <w:r>
        <w:t>3. Tres frentes paralelos: planta, comercial y TI, con sus plazos diferenciados.</w:t>
      </w:r>
    </w:p>
    <w:p>
      <w:r>
        <w:t>4. Método: diagnóstico, arquitectura, construcción, validación y transferencia.</w:t>
      </w:r>
    </w:p>
    <w:p>
      <w:r>
        <w:t>5. Profesionalismo técnico: permisos, consistencia de datos, auditoría, pruebas y despliegue.</w:t>
      </w:r>
    </w:p>
    <w:p>
      <w:r>
        <w:t>6. Demo: recorrido comercial con evidencia, pendientes y expediente.</w:t>
      </w:r>
    </w:p>
    <w:p>
      <w:r>
        <w:t>7. Ejecución: equipo, responsables internos, hitos y gobierno de decisiones.</w:t>
      </w:r>
    </w:p>
    <w:p>
      <w:r>
        <w:t>8. Siguiente decisión: validar alcance de referencia y completar variables de inversión.</w:t>
      </w:r>
    </w:p>
    <w:p>
      <w:pPr>
        <w:pStyle w:val="Heading1"/>
      </w:pPr>
      <w:r>
        <w:t>14 Fuentes y límites de la investigación</w:t>
      </w:r>
    </w:p>
    <w:p>
      <w:r>
        <w:t>Consulta realizada el 28 de octubre de 2026. Las referencias describen contexto y fuentes para diseñar el producto; la elegibilidad se determina con las bases completas y documentos vigentes de cada procedimiento. No se revisaron los archivos internos de Dipromedic.</w:t>
      </w:r>
    </w:p>
    <w:p>
      <w:r>
        <w:t>F1. Grupo Dipromedic, inicio y descripción institucional. https://www.dipromedic.com/home</w:t>
      </w:r>
    </w:p>
    <w:p>
      <w:r>
        <w:t>F2. Grupo Dipromedic, nosotros y navegación de familias. https://www.dipromedic.com/nosotros</w:t>
      </w:r>
    </w:p>
    <w:p>
      <w:r>
        <w:t>F3. Compras MX, explicación y accesos públicos. https://comprasmx.buengobierno.gob.mx/compras-mx</w:t>
      </w:r>
    </w:p>
    <w:p>
      <w:r>
        <w:t>F4. Compras MX, difusión de procedimientos. https://comprasmx.buengobierno.gob.mx/sitiopublico/</w:t>
      </w:r>
    </w:p>
    <w:p>
      <w:r>
        <w:t>F5. IMSS, procedimientos de contratación. https://www.imss.gob.mx/licitaciones-publicas</w:t>
      </w:r>
    </w:p>
    <w:p>
      <w:r>
        <w:t>F6. DOF vía SIDOF, IMSS Querétaro, LA-50-GYR-050GYR075-I-134-2026. Presentación programada el 2 de septiembre de 2026. Referencia histórica; adjudicación no verificada. https://sidof.segob.gob.mx/notas/docFuente/5797331</w:t>
      </w:r>
    </w:p>
    <w:p>
      <w:r>
        <w:t>F7. DOF vía SIDOF, LA-50-GYR-050GYR022-T-58-2026. Presentación programada el 20 de febrero de 2026. Referencia histórica; adjudicación no verificada. https://sidof.segob.gob.mx/notas/docFuente/5779808</w:t>
      </w:r>
    </w:p>
    <w:p>
      <w:r>
        <w:t>F8. DOF vía SIDOF, IMSS Bienestar, LA-56-AYO-056AYO954-N-88-2026. Presentación programada el 11 de mayo de 2026. Referencia histórica; adjudicación no verificada. https://sidof.segob.gob.mx/notas/docFuente/5786464</w:t>
      </w:r>
    </w:p>
    <w:sectPr w:rsidR="00FC693F" w:rsidRPr="0006063C" w:rsidSect="00034616">
      <w:headerReference w:type="default" r:id="rId9"/>
      <w:footerReference w:type="default" r:id="rId10"/>
      <w:pgSz w:w="12240" w:h="15840"/>
      <w:pgMar w:top="1037"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Propuesta para revisión · 28 octubre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GRUPO DIPROMEDIC  |  TRANSFORMACIÓN DIGITAL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6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