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0A8AF9" w14:textId="77777777" w:rsidR="000A396A" w:rsidRDefault="000B545A">
      <w:pPr>
        <w:pStyle w:val="Heading1"/>
      </w:pPr>
      <w:bookmarkStart w:id="0" w:name="i.-background-significance"/>
      <w:bookmarkEnd w:id="0"/>
      <w:r>
        <w:t>I. Background &amp; Significance</w:t>
      </w:r>
    </w:p>
    <w:p w14:paraId="7082428E" w14:textId="77777777" w:rsidR="000A396A" w:rsidRDefault="000B545A">
      <w:r>
        <w:t>Community psychological theory values the notion that the communities in which research is taking place and/or affecting (whether directly or indirectly) should be as involved as possible in all phases of the research process, rather than solely as anonymo</w:t>
      </w:r>
      <w:r>
        <w:t>us data points in the analysis. Community psychology thus favors inclusion over exclusion, participant voices equally with researchers' voices, and participatory and/or purposive sampling methods over convenience sampling methods. The reviewed literature w</w:t>
      </w:r>
      <w:r>
        <w:t xml:space="preserve">ill be evaluated and critiqued according to these types of community psychological standards regarding (1) </w:t>
      </w:r>
      <w:r>
        <w:rPr>
          <w:i/>
        </w:rPr>
        <w:t>research methodologies</w:t>
      </w:r>
      <w:r>
        <w:t xml:space="preserve">, (2) </w:t>
      </w:r>
      <w:r>
        <w:rPr>
          <w:i/>
        </w:rPr>
        <w:t>data analytic approaches</w:t>
      </w:r>
      <w:r>
        <w:t xml:space="preserve">, (3) </w:t>
      </w:r>
      <w:r>
        <w:rPr>
          <w:i/>
        </w:rPr>
        <w:t>interpretations of findings</w:t>
      </w:r>
      <w:r>
        <w:t xml:space="preserve">, and (4) </w:t>
      </w:r>
      <w:r>
        <w:rPr>
          <w:i/>
        </w:rPr>
        <w:t>research dissemination.</w:t>
      </w:r>
    </w:p>
    <w:p w14:paraId="50402218" w14:textId="77777777" w:rsidR="000A396A" w:rsidRDefault="000B545A">
      <w:pPr>
        <w:pStyle w:val="Heading2"/>
      </w:pPr>
      <w:bookmarkStart w:id="1" w:name="rationale"/>
      <w:bookmarkEnd w:id="1"/>
      <w:r>
        <w:t>Rationale</w:t>
      </w:r>
    </w:p>
    <w:p w14:paraId="4768CAC2" w14:textId="77777777" w:rsidR="000A396A" w:rsidRDefault="000B545A">
      <w:r>
        <w:t>This review is based</w:t>
      </w:r>
      <w:r>
        <w:t xml:space="preserve"> in an action-oriented research framework characterized by the following core components: (1) a focus on developing and implementing innovative and inclusive research methodologies, data analytic approaches, and dissemination strategies; and (2) a diligent</w:t>
      </w:r>
      <w:r>
        <w:t xml:space="preserve"> focus on the importance of critical reflexivity throughout the research process. The action-oriented and values-transparent community psychological research approach was born out of a resistance to research methodologies, social policies, and implementati</w:t>
      </w:r>
      <w:r>
        <w:t xml:space="preserve">on practices that ultimately served to reinforce and/or strengthen social and economic inequalities. This foundation necessitates vigilance in critical reflexivity throughout and beyond the research process. The critical literature review provided here is </w:t>
      </w:r>
      <w:r>
        <w:t>intended to serve this key characteristic of community psychology.</w:t>
      </w:r>
    </w:p>
    <w:p w14:paraId="1A375EBA" w14:textId="77777777" w:rsidR="000A396A" w:rsidRDefault="000B545A">
      <w:pPr>
        <w:pStyle w:val="Heading2"/>
      </w:pPr>
      <w:bookmarkStart w:id="2" w:name="research-questions-rqs"/>
      <w:bookmarkEnd w:id="2"/>
      <w:r>
        <w:lastRenderedPageBreak/>
        <w:t>Research Questions (RQs)</w:t>
      </w:r>
    </w:p>
    <w:p w14:paraId="5939CEC6" w14:textId="77777777" w:rsidR="000A396A" w:rsidRDefault="000B545A">
      <w:r>
        <w:rPr>
          <w:b/>
        </w:rPr>
        <w:t>RQ-1:</w:t>
      </w:r>
      <w:r>
        <w:t xml:space="preserve"> To what extent are community psychological theories and methodologies implemented, or not, in community psychology-based research related to intimate partner </w:t>
      </w:r>
      <w:r>
        <w:t>violence (IPV)?</w:t>
      </w:r>
    </w:p>
    <w:p w14:paraId="19BE6D88" w14:textId="77777777" w:rsidR="000A396A" w:rsidRDefault="000B545A">
      <w:r>
        <w:rPr>
          <w:b/>
        </w:rPr>
        <w:t>RQ-2:</w:t>
      </w:r>
      <w:r>
        <w:t xml:space="preserve"> How has the implementation of community psychological research has evolved over time since the origination of the field, as well as potential trajectories based on the current state of discourse within Community Psychology and closely</w:t>
      </w:r>
      <w:r>
        <w:t xml:space="preserve"> related research and practice disciplines?</w:t>
      </w:r>
    </w:p>
    <w:p w14:paraId="397CA797" w14:textId="77777777" w:rsidR="000A396A" w:rsidRDefault="000B545A">
      <w:pPr>
        <w:pStyle w:val="Heading1"/>
      </w:pPr>
      <w:bookmarkStart w:id="3" w:name="ii.-theoretical-grounding"/>
      <w:bookmarkEnd w:id="3"/>
      <w:r>
        <w:lastRenderedPageBreak/>
        <w:t>II. Theoretical Grounding</w:t>
      </w:r>
    </w:p>
    <w:p w14:paraId="7E3613A2" w14:textId="77777777" w:rsidR="000A396A" w:rsidRDefault="000B545A">
      <w:r>
        <w:t xml:space="preserve">In a sense, the present review's theoretical grounding is best summarized in terms of the of the </w:t>
      </w:r>
      <w:r>
        <w:rPr>
          <w:i/>
        </w:rPr>
        <w:t>Community Psychology Practice Council's</w:t>
      </w:r>
      <w:r>
        <w:t xml:space="preserve"> </w:t>
      </w:r>
      <w:hyperlink r:id="rId7">
        <w:r>
          <w:rPr>
            <w:rStyle w:val="Hyperlink"/>
            <w:i/>
          </w:rPr>
          <w:t>"Theory into Action Bulletin"</w:t>
        </w:r>
      </w:hyperlink>
      <w:r>
        <w:rPr>
          <w:rStyle w:val="FootnoteReference"/>
        </w:rPr>
        <w:footnoteReference w:id="1"/>
      </w:r>
      <w:r>
        <w:t>. That is, this review is grounded in theories related to action-oriented research and their applications (Brydon-Miller, Greenwood, &amp; Maguire, 2003; Chandler &amp; T</w:t>
      </w:r>
      <w:r>
        <w:t>orbert, 2003; Friedman-Nimz et al., 2006; Kelly et al., 2004; Noffke, 1997; Prilleltensky, 1997, 2001; Seidman, 2012), as well as social and community psychological theories related to female same-sex intimate partner violence. The underlying purpose of th</w:t>
      </w:r>
      <w:r>
        <w:t>is systematic review is to examine the intersections that exist across these theoretical, methodological, and problem-specific domains in terms of their actual applications and manifestations in various settings. Below is a list of theoretical and conceptu</w:t>
      </w:r>
      <w:r>
        <w:t>al frameworks specifically guiding the proposed review.</w:t>
      </w:r>
    </w:p>
    <w:p w14:paraId="7B9C2E80" w14:textId="77777777" w:rsidR="000A396A" w:rsidRDefault="000B545A">
      <w:r>
        <w:rPr>
          <w:smallCaps/>
        </w:rPr>
        <w:t>Theory Specific to Community Psychology (CP):</w:t>
      </w:r>
    </w:p>
    <w:p w14:paraId="31B0E00F" w14:textId="77777777" w:rsidR="000A396A" w:rsidRDefault="000B545A">
      <w:pPr>
        <w:pStyle w:val="Compact"/>
        <w:numPr>
          <w:ilvl w:val="0"/>
          <w:numId w:val="36"/>
        </w:numPr>
      </w:pPr>
      <w:r>
        <w:rPr>
          <w:i/>
        </w:rPr>
        <w:t>The Action Research Cycle &amp; Community-Based Participatory Action Research</w:t>
      </w:r>
      <w:r>
        <w:t xml:space="preserve"> (Anders, 1966; Brydon-Miller et al., 2003; Chandler &amp; Torbert, 2003; CBPR; Fine </w:t>
      </w:r>
      <w:r>
        <w:t>et al., 2004; Friedman-Nimz et al., 2006; Kelly et al., 2004; Noffke, 1997; Prilleltensky, 1997, 2001; Seidman, 2012)</w:t>
      </w:r>
    </w:p>
    <w:p w14:paraId="69906727" w14:textId="77777777" w:rsidR="000A396A" w:rsidRDefault="000B545A">
      <w:pPr>
        <w:pStyle w:val="Compact"/>
        <w:numPr>
          <w:ilvl w:val="0"/>
          <w:numId w:val="36"/>
        </w:numPr>
      </w:pPr>
      <w:r>
        <w:rPr>
          <w:i/>
        </w:rPr>
        <w:t>Ecological systems theory and the Social Ecological Model</w:t>
      </w:r>
      <w:r>
        <w:t xml:space="preserve"> (Anderies, Janssen, &amp; Ostrom, 2004; Baral, Logie, Grosso, Wirtz, &amp; Beyrer, 2013;</w:t>
      </w:r>
      <w:r>
        <w:t xml:space="preserve"> Centers for Disease Control and Prevention (CDC) &amp; others, 2015; Kloos &amp; Shah, 2009; Stokols, 1996, 1996; Visser, 2007; Walker et al., 2006)</w:t>
      </w:r>
    </w:p>
    <w:p w14:paraId="63D23CDA" w14:textId="77777777" w:rsidR="000A396A" w:rsidRDefault="000B545A">
      <w:pPr>
        <w:pStyle w:val="Compact"/>
        <w:numPr>
          <w:ilvl w:val="0"/>
          <w:numId w:val="36"/>
        </w:numPr>
      </w:pPr>
      <w:r>
        <w:rPr>
          <w:i/>
        </w:rPr>
        <w:t>Community Empowerment &amp; Individual Empowerment</w:t>
      </w:r>
      <w:r>
        <w:t xml:space="preserve"> (Beeker, Guenther-Grey, &amp; Raj, 1998; Cobb, 1993; Collins, 2002; Rig</w:t>
      </w:r>
      <w:r>
        <w:t>er, 1993; Speer &amp; Hughey, 1995)</w:t>
      </w:r>
    </w:p>
    <w:p w14:paraId="13755070" w14:textId="77777777" w:rsidR="000A396A" w:rsidRDefault="000B545A">
      <w:pPr>
        <w:pStyle w:val="Compact"/>
        <w:numPr>
          <w:ilvl w:val="0"/>
          <w:numId w:val="36"/>
        </w:numPr>
      </w:pPr>
      <w:r>
        <w:rPr>
          <w:i/>
        </w:rPr>
        <w:t>[Community] Health Promotion</w:t>
      </w:r>
      <w:r>
        <w:t xml:space="preserve"> (Stokols, 1996)</w:t>
      </w:r>
    </w:p>
    <w:p w14:paraId="169B98FB" w14:textId="77777777" w:rsidR="000A396A" w:rsidRDefault="000B545A">
      <w:r>
        <w:rPr>
          <w:smallCaps/>
        </w:rPr>
        <w:t>Theory Related to both Community Psychology and IPV Intervention and Prevention:</w:t>
      </w:r>
    </w:p>
    <w:p w14:paraId="6A4882D0" w14:textId="77777777" w:rsidR="000A396A" w:rsidRDefault="000B545A">
      <w:pPr>
        <w:pStyle w:val="Compact"/>
        <w:numPr>
          <w:ilvl w:val="0"/>
          <w:numId w:val="37"/>
        </w:numPr>
      </w:pPr>
      <w:r>
        <w:rPr>
          <w:i/>
        </w:rPr>
        <w:t>Coordinated Community Response</w:t>
      </w:r>
      <w:r>
        <w:t xml:space="preserve"> (Barner &amp; Carney, 2011; Dutton &amp; Corvo, 2007; CCR; Edward W. Gondol</w:t>
      </w:r>
      <w:r>
        <w:t>f, 2007)</w:t>
      </w:r>
    </w:p>
    <w:p w14:paraId="7ACF5727" w14:textId="77777777" w:rsidR="000A396A" w:rsidRDefault="000B545A">
      <w:pPr>
        <w:pStyle w:val="Compact"/>
        <w:numPr>
          <w:ilvl w:val="0"/>
          <w:numId w:val="37"/>
        </w:numPr>
      </w:pPr>
      <w:r>
        <w:rPr>
          <w:i/>
        </w:rPr>
        <w:t>Minority Stress Theory &amp; Resilience</w:t>
      </w:r>
      <w:r>
        <w:t xml:space="preserve"> (Meyer, 1995, MS; 2003, 2010, 2015)</w:t>
      </w:r>
    </w:p>
    <w:p w14:paraId="7F4F5B17" w14:textId="77777777" w:rsidR="000A396A" w:rsidRDefault="000B545A">
      <w:pPr>
        <w:pStyle w:val="Compact"/>
        <w:numPr>
          <w:ilvl w:val="0"/>
          <w:numId w:val="37"/>
        </w:numPr>
      </w:pPr>
      <w:r>
        <w:rPr>
          <w:i/>
        </w:rPr>
        <w:lastRenderedPageBreak/>
        <w:t>Risk Factors vs. Protective Factors</w:t>
      </w:r>
      <w:r>
        <w:t xml:space="preserve"> (Baral et al., 2013; Heckert &amp; Gondolf, 2004; Tharp et al., 2013; Walton-Moss, Manganello, Frye, &amp; Campbell, 2005; Whitaker, 2014)</w:t>
      </w:r>
    </w:p>
    <w:p w14:paraId="22667F2A" w14:textId="77777777" w:rsidR="000A396A" w:rsidRDefault="000B545A">
      <w:r>
        <w:rPr>
          <w:smallCaps/>
        </w:rPr>
        <w:t>Intersec</w:t>
      </w:r>
      <w:r>
        <w:rPr>
          <w:smallCaps/>
        </w:rPr>
        <w:t>ting Community Psychology Theory &amp; Research Methodology</w:t>
      </w:r>
    </w:p>
    <w:p w14:paraId="512920D5" w14:textId="77777777" w:rsidR="000A396A" w:rsidRDefault="000B545A">
      <w:pPr>
        <w:pStyle w:val="Compact"/>
        <w:numPr>
          <w:ilvl w:val="0"/>
          <w:numId w:val="38"/>
        </w:numPr>
      </w:pPr>
      <w:r>
        <w:rPr>
          <w:i/>
        </w:rPr>
        <w:t>Grounded Theory Methods</w:t>
      </w:r>
      <w:r>
        <w:t xml:space="preserve"> (Charmaz, 2006; Corbin &amp; Strauss, 1990; Strauss &amp; Corbin, 1994)</w:t>
      </w:r>
    </w:p>
    <w:p w14:paraId="31DD7C86" w14:textId="77777777" w:rsidR="000A396A" w:rsidRDefault="000B545A">
      <w:pPr>
        <w:pStyle w:val="Compact"/>
        <w:numPr>
          <w:ilvl w:val="0"/>
          <w:numId w:val="38"/>
        </w:numPr>
      </w:pPr>
      <w:r>
        <w:rPr>
          <w:i/>
        </w:rPr>
        <w:t>Mixed-Methods Research</w:t>
      </w:r>
      <w:r>
        <w:t xml:space="preserve"> (Creswell, 2013; Greene, Caracelli, &amp; Graham, 1989; Johnson, Onwuegbuzie, &amp; Turner, 2007;</w:t>
      </w:r>
      <w:r>
        <w:t xml:space="preserve"> Morgan, 2014)</w:t>
      </w:r>
    </w:p>
    <w:p w14:paraId="18FEDECC" w14:textId="77777777" w:rsidR="000A396A" w:rsidRDefault="000B545A">
      <w:pPr>
        <w:pStyle w:val="Compact"/>
        <w:numPr>
          <w:ilvl w:val="0"/>
          <w:numId w:val="38"/>
        </w:numPr>
      </w:pPr>
      <w:r>
        <w:rPr>
          <w:i/>
        </w:rPr>
        <w:t>Program Evaluation</w:t>
      </w:r>
      <w:r>
        <w:t xml:space="preserve"> (Greene et al., 1989; Kidder &amp; Fine, 1987; Mertens &amp; Wilson, 2012; Owen &amp; Rogers, 1999; Royse, Thyer, &amp; Padgett, 2009)</w:t>
      </w:r>
    </w:p>
    <w:p w14:paraId="04B601D8" w14:textId="77777777" w:rsidR="000A396A" w:rsidRDefault="000B545A" w:rsidP="000F6606">
      <w:pPr>
        <w:pStyle w:val="Heading1"/>
      </w:pPr>
      <w:bookmarkStart w:id="4" w:name="iii.-systematic-literature-review-method"/>
      <w:bookmarkEnd w:id="4"/>
      <w:r>
        <w:lastRenderedPageBreak/>
        <w:t>III. Systematic Literature Review Methodology</w:t>
      </w:r>
    </w:p>
    <w:p w14:paraId="557164C1" w14:textId="77777777" w:rsidR="000A396A" w:rsidRDefault="000B545A">
      <w:r>
        <w:t>T</w:t>
      </w:r>
      <w:r>
        <w:t>he purpose of this review is to provide a critical meth</w:t>
      </w:r>
      <w:r>
        <w:t xml:space="preserve">odological overview of the available empirical research related to intimate partner violence (IPV) intervention and prevention efforts through a community psychological lens. As such, this review is specifically focused on the </w:t>
      </w:r>
      <w:r>
        <w:rPr>
          <w:i/>
        </w:rPr>
        <w:t>applied</w:t>
      </w:r>
      <w:r>
        <w:t xml:space="preserve"> methodologies employe</w:t>
      </w:r>
      <w:r>
        <w:t>d within community-based and action-oriented research frameworks. This overarching purpose stems primarily from the goal of informing IPV intervention and prevention approaches specific to same-gender IPV perpetration among female-identified individuals. H</w:t>
      </w:r>
      <w:r>
        <w:t xml:space="preserve">owever, while there is currently a burgeoning body of research related to the causes, correlates, and consequences of IPV within the context of women's same-gender relationships, the below-described literature searches indicated that there is no currently </w:t>
      </w:r>
      <w:r>
        <w:t>available empirical evaluation research examining interventions implemented to address IPV within such contexts.</w:t>
      </w:r>
    </w:p>
    <w:p w14:paraId="7A331D2C" w14:textId="77777777" w:rsidR="000A396A" w:rsidRDefault="000B545A">
      <w:pPr>
        <w:pStyle w:val="Heading2"/>
      </w:pPr>
      <w:bookmarkStart w:id="5" w:name="literature-search-strategy"/>
      <w:bookmarkEnd w:id="5"/>
      <w:r>
        <w:t>Literature search strategy</w:t>
      </w:r>
    </w:p>
    <w:p w14:paraId="15F311C1" w14:textId="77777777" w:rsidR="000A396A" w:rsidRDefault="000B545A" w:rsidP="000F6606">
      <w:r>
        <w:t xml:space="preserve">Six separate literature searches were conducted using the </w:t>
      </w:r>
      <w:hyperlink r:id="rId8">
        <w:r>
          <w:rPr>
            <w:rStyle w:val="Hyperlink"/>
            <w:i/>
          </w:rPr>
          <w:t>PsycINFO</w:t>
        </w:r>
      </w:hyperlink>
      <w:r>
        <w:t xml:space="preserve"> and </w:t>
      </w:r>
      <w:hyperlink r:id="rId9">
        <w:r>
          <w:rPr>
            <w:rStyle w:val="Hyperlink"/>
            <w:i/>
          </w:rPr>
          <w:t>Web of Science</w:t>
        </w:r>
      </w:hyperlink>
      <w:r>
        <w:t xml:space="preserve"> online citation indexing databases via the </w:t>
      </w:r>
      <w:hyperlink r:id="rId10">
        <w:r>
          <w:rPr>
            <w:rStyle w:val="Hyperlink"/>
          </w:rPr>
          <w:t>Portland State University library website</w:t>
        </w:r>
      </w:hyperlink>
      <w:r>
        <w:t>:</w:t>
      </w:r>
    </w:p>
    <w:p w14:paraId="28FCDAD4" w14:textId="77777777" w:rsidR="000A396A" w:rsidRDefault="000B545A">
      <w:pPr>
        <w:pStyle w:val="Compact"/>
        <w:numPr>
          <w:ilvl w:val="0"/>
          <w:numId w:val="39"/>
        </w:numPr>
      </w:pPr>
      <w:r>
        <w:rPr>
          <w:i/>
        </w:rPr>
        <w:t>Intimate Partner Violence, Domestic Violence, or Partner Abuse - General</w:t>
      </w:r>
    </w:p>
    <w:p w14:paraId="0763B5F6" w14:textId="77777777" w:rsidR="000A396A" w:rsidRDefault="000B545A">
      <w:pPr>
        <w:pStyle w:val="Compact"/>
        <w:numPr>
          <w:ilvl w:val="0"/>
          <w:numId w:val="39"/>
        </w:numPr>
      </w:pPr>
      <w:r>
        <w:rPr>
          <w:i/>
        </w:rPr>
        <w:t>Intimate Partner Violence, Domestic Violence, or Partner Abuse Interventions</w:t>
      </w:r>
    </w:p>
    <w:p w14:paraId="174841A9" w14:textId="77777777" w:rsidR="000A396A" w:rsidRDefault="000B545A">
      <w:pPr>
        <w:pStyle w:val="Compact"/>
        <w:numPr>
          <w:ilvl w:val="0"/>
          <w:numId w:val="39"/>
        </w:numPr>
      </w:pPr>
      <w:r>
        <w:rPr>
          <w:i/>
        </w:rPr>
        <w:t>Intimate Partner Violence, Domestic Violence, or Partner Abuse Intervention Evaluations</w:t>
      </w:r>
    </w:p>
    <w:p w14:paraId="4A0BB913" w14:textId="77777777" w:rsidR="000A396A" w:rsidRDefault="000B545A">
      <w:pPr>
        <w:pStyle w:val="Compact"/>
        <w:numPr>
          <w:ilvl w:val="0"/>
          <w:numId w:val="39"/>
        </w:numPr>
      </w:pPr>
      <w:r>
        <w:rPr>
          <w:i/>
        </w:rPr>
        <w:t>Female Same-Sex/Sa</w:t>
      </w:r>
      <w:r>
        <w:rPr>
          <w:i/>
        </w:rPr>
        <w:t>me-Gender Domestic Violence, or Partner Abuse - General</w:t>
      </w:r>
    </w:p>
    <w:p w14:paraId="3EC7EF16" w14:textId="77777777" w:rsidR="000A396A" w:rsidRDefault="000B545A">
      <w:pPr>
        <w:pStyle w:val="Compact"/>
        <w:numPr>
          <w:ilvl w:val="0"/>
          <w:numId w:val="39"/>
        </w:numPr>
      </w:pPr>
      <w:r>
        <w:rPr>
          <w:i/>
        </w:rPr>
        <w:t>Female Same-Sex/Same-Gender Domestic Violence, or Partner Abuse Interventions</w:t>
      </w:r>
    </w:p>
    <w:p w14:paraId="172BE906" w14:textId="77777777" w:rsidR="000A396A" w:rsidRDefault="000B545A">
      <w:pPr>
        <w:pStyle w:val="Compact"/>
        <w:numPr>
          <w:ilvl w:val="0"/>
          <w:numId w:val="39"/>
        </w:numPr>
      </w:pPr>
      <w:r>
        <w:rPr>
          <w:i/>
        </w:rPr>
        <w:t>Female Same-Sex/Same-Gender Domestic Violence, or Partner Abuse Intervention Evaluations</w:t>
      </w:r>
    </w:p>
    <w:p w14:paraId="0A975058" w14:textId="77777777" w:rsidR="000A396A" w:rsidRDefault="000A396A"/>
    <w:p w14:paraId="69F1E62E" w14:textId="77777777" w:rsidR="000A396A" w:rsidRDefault="000B545A">
      <w:r>
        <w:t>Because this review is not inten</w:t>
      </w:r>
      <w:r>
        <w:t>ded to provide a cross-national examination of IPV interventions research, each of the above literature searches was restricted to empirical studies conducted within the United States. In addition, to focus the review around a community psychological frame</w:t>
      </w:r>
      <w:r>
        <w:t xml:space="preserve">work and intimate partner violence, results were initially confined to articles </w:t>
      </w:r>
      <w:r>
        <w:lastRenderedPageBreak/>
        <w:t xml:space="preserve">published in scholarly peer-reviewed journals specific to Community Psychology. The list Community Psychology journals included </w:t>
      </w:r>
      <w:r>
        <w:rPr>
          <w:i/>
        </w:rPr>
        <w:t>The American Journal of Community Psychology</w:t>
      </w:r>
      <w:r>
        <w:t xml:space="preserve"> and</w:t>
      </w:r>
      <w:r>
        <w:t xml:space="preserve"> the additional publications, provided in Table </w:t>
      </w:r>
      <w:r>
        <w:rPr>
          <w:rStyle w:val="VerbatimChar"/>
        </w:rPr>
        <w:t>[</w:t>
      </w:r>
      <w:r>
        <w:t xml:space="preserve"> </w:t>
      </w:r>
      <w:r>
        <w:rPr>
          <w:rStyle w:val="VerbatimChar"/>
        </w:rPr>
        <w:t>]</w:t>
      </w:r>
      <w:r>
        <w:t>, endorsed by the Society for Community Research and Action (SCRA) as related to Community Psychology (The Society for Community Research and Action (SCRA), 2017). This restriction yielded a limited number</w:t>
      </w:r>
      <w:r>
        <w:t xml:space="preserve"> of empirical articles specific to intimate partner violence interventions (see Table </w:t>
      </w:r>
      <w:r>
        <w:rPr>
          <w:rStyle w:val="VerbatimChar"/>
        </w:rPr>
        <w:t>[</w:t>
      </w:r>
      <w:r>
        <w:t xml:space="preserve"> </w:t>
      </w:r>
      <w:r>
        <w:rPr>
          <w:rStyle w:val="VerbatimChar"/>
        </w:rPr>
        <w:t>]</w:t>
      </w:r>
      <w:r>
        <w:t xml:space="preserve">). Thus, the literature searches were revised to also include articles published in any of the following violence-specific publications: </w:t>
      </w:r>
      <w:r>
        <w:rPr>
          <w:i/>
        </w:rPr>
        <w:t>Journal of Interpersonal Viole</w:t>
      </w:r>
      <w:r>
        <w:rPr>
          <w:i/>
        </w:rPr>
        <w:t>nce</w:t>
      </w:r>
      <w:r>
        <w:t xml:space="preserve">, </w:t>
      </w:r>
      <w:r>
        <w:rPr>
          <w:i/>
        </w:rPr>
        <w:t>Journal of Family Violence</w:t>
      </w:r>
      <w:r>
        <w:t xml:space="preserve">, </w:t>
      </w:r>
      <w:r>
        <w:rPr>
          <w:i/>
        </w:rPr>
        <w:t>Violence Against Women</w:t>
      </w:r>
      <w:r>
        <w:t xml:space="preserve">, or </w:t>
      </w:r>
      <w:r>
        <w:rPr>
          <w:i/>
        </w:rPr>
        <w:t>Violence and Victims</w:t>
      </w:r>
      <w:r>
        <w:t>. These additional publications were included based on results from a database search of IPV-related terms conducted with no constraints imposed on the publishing journal, whic</w:t>
      </w:r>
      <w:r>
        <w:t>h revealed that these journal publish the majority of IPV-related research (</w:t>
      </w:r>
      <m:oMath>
        <m:sSub>
          <m:sSubPr>
            <m:ctrlPr>
              <w:rPr>
                <w:rFonts w:ascii="Cambria Math" w:hAnsi="Cambria Math"/>
              </w:rPr>
            </m:ctrlPr>
          </m:sSubPr>
          <m:e>
            <m:r>
              <w:rPr>
                <w:rFonts w:ascii="Cambria Math" w:hAnsi="Cambria Math"/>
              </w:rPr>
              <m:t>n</m:t>
            </m:r>
          </m:e>
          <m:sub>
            <m:r>
              <w:rPr>
                <w:rFonts w:ascii="Cambria Math" w:hAnsi="Cambria Math"/>
              </w:rPr>
              <m:t>articles</m:t>
            </m:r>
          </m:sub>
        </m:sSub>
        <m:r>
          <w:rPr>
            <w:rFonts w:ascii="Cambria Math" w:hAnsi="Cambria Math"/>
          </w:rPr>
          <m:t>=</m:t>
        </m:r>
      </m:oMath>
      <w:r>
        <w:t xml:space="preserve"> </w:t>
      </w:r>
      <w:r>
        <w:rPr>
          <w:i/>
        </w:rPr>
        <w:t>978</w:t>
      </w:r>
      <w:r>
        <w:t xml:space="preserve">, </w:t>
      </w:r>
      <w:r>
        <w:rPr>
          <w:i/>
        </w:rPr>
        <w:t>883</w:t>
      </w:r>
      <w:r>
        <w:t xml:space="preserve">, </w:t>
      </w:r>
      <w:r>
        <w:rPr>
          <w:i/>
        </w:rPr>
        <w:t>882</w:t>
      </w:r>
      <w:r>
        <w:t xml:space="preserve"> and </w:t>
      </w:r>
      <w:r>
        <w:rPr>
          <w:i/>
        </w:rPr>
        <w:t>528</w:t>
      </w:r>
      <w:r>
        <w:t>, respectively), and (2) the alignment of the topical and methodological foci of these violence-related journals with community psychologic</w:t>
      </w:r>
      <w:r>
        <w:t xml:space="preserve">al principles and values. Finally, each database search was restricted to empirical studies published between 1965 and 2017 (i.e., the year of the </w:t>
      </w:r>
      <w:hyperlink r:id="rId11">
        <w:r>
          <w:rPr>
            <w:rStyle w:val="Hyperlink"/>
          </w:rPr>
          <w:t>Swampscott conference</w:t>
        </w:r>
      </w:hyperlink>
      <w:r>
        <w:t xml:space="preserve"> and the present year; Fryer, 2008).</w:t>
      </w:r>
    </w:p>
    <w:p w14:paraId="001864FB" w14:textId="77777777" w:rsidR="000A396A" w:rsidRDefault="000B545A">
      <w:r>
        <w:t>Details regarding the number of results obtained from each of the above-listed database searches are provided in Table []. Collectively, the literature database searches yielded 106 journal artic</w:t>
      </w:r>
      <w:r>
        <w:t>les, of which 41 focused on intimate partner violence prevention and intervention programs, approaches, and evaluations, ; whereas the remaining 65 consisted of research specific or closely related to IPV among sexual minority women and LGBTQ populations i</w:t>
      </w:r>
      <w:r>
        <w:t xml:space="preserve">n general, but not necessarily specific to IPV prevention nor intervention among these populations. The majority of the latter research sub-category's initial results focused primarily on the prevalence of </w:t>
      </w:r>
      <w:r>
        <w:lastRenderedPageBreak/>
        <w:t xml:space="preserve">IPV among sexual minority populations, as well as </w:t>
      </w:r>
      <w:r>
        <w:t>causal antecedents, risk factors, correlates, and consequences of IPV among members of these target sub-populations.</w:t>
      </w:r>
    </w:p>
    <w:p w14:paraId="42E6A4BC" w14:textId="77777777" w:rsidR="000A396A" w:rsidRDefault="000B545A">
      <w:r>
        <w:t>Through a systematic evaluation of the full set of results obtained from the database searches, described in a later section, a large numbe</w:t>
      </w:r>
      <w:r>
        <w:t>r of the latter category's articles published in the included violence-specific journals were determined to be, at best, loosely relevant to the overall community-psychological focus of this review. As such, results from this LGBTQ-IPV research sub-categor</w:t>
      </w:r>
      <w:r>
        <w:t xml:space="preserve">y were restricted to studies published within any of the community-psychology-related scholarly journals in an effort to maintain the overall community-psychological focus of this review (see Table </w:t>
      </w:r>
      <w:r>
        <w:rPr>
          <w:rStyle w:val="VerbatimChar"/>
        </w:rPr>
        <w:t>[</w:t>
      </w:r>
      <w:r>
        <w:t xml:space="preserve"> </w:t>
      </w:r>
      <w:r>
        <w:rPr>
          <w:rStyle w:val="VerbatimChar"/>
        </w:rPr>
        <w:t>]</w:t>
      </w:r>
      <w:r>
        <w:t>; The Society for Community Research and Action (SCRA),</w:t>
      </w:r>
      <w:r>
        <w:t xml:space="preserve"> 2017). The final set of 32 articles included in this review therefore consists of 24 empirical studies related to IPV intervention and prevention program evaluations in general, and 8 studies specific to sexual minority populations.</w:t>
      </w:r>
    </w:p>
    <w:p w14:paraId="254A98F1" w14:textId="77777777" w:rsidR="000A396A" w:rsidRDefault="000B545A">
      <w:r>
        <w:t>As previously noted, t</w:t>
      </w:r>
      <w:r>
        <w:t>he research reviewed here is conducted within a Community Psychological or closely related research framework and thus represents a subset of the available IPV-related empirical literature.</w:t>
      </w:r>
    </w:p>
    <w:p w14:paraId="39DA1218" w14:textId="77777777" w:rsidR="000A396A" w:rsidRDefault="000B545A">
      <w:r>
        <w:t>The selection of empirical literature, representing a community-ps</w:t>
      </w:r>
      <w:r>
        <w:t xml:space="preserve">ychology-focused subset of the U.S.-based IPV-related literature, was reviewed using a </w:t>
      </w:r>
      <w:r>
        <w:rPr>
          <w:rStyle w:val="VerbatimChar"/>
        </w:rPr>
        <w:t>primarily deductive</w:t>
      </w:r>
      <w:r>
        <w:t xml:space="preserve"> </w:t>
      </w:r>
      <w:r>
        <w:rPr>
          <w:i/>
        </w:rPr>
        <w:t>qualitative comparative analytic approach</w:t>
      </w:r>
      <w:r>
        <w:t xml:space="preserve"> (</w:t>
      </w:r>
      <w:r>
        <w:rPr>
          <w:i/>
        </w:rPr>
        <w:t>QCA</w:t>
      </w:r>
      <w:r>
        <w:t>; Leech &amp; Onwuegbuzie, 2007; Onwuegbuzie &amp; Weinbaum, 2017). This review approach was conducted in two p</w:t>
      </w:r>
      <w:r>
        <w:t>hases, the first of which served as the initial data reduction, organization, and quality-control process undertaken to determine the final set of articles to be included in the formal review. In the first QCA procedure, each article in the initial full se</w:t>
      </w:r>
      <w:r>
        <w:t>t of results from the previously-described literature database searches ($N = )</w:t>
      </w:r>
    </w:p>
    <w:p w14:paraId="7DF4F390" w14:textId="77777777" w:rsidR="000A396A" w:rsidRDefault="000B545A">
      <w:r>
        <w:lastRenderedPageBreak/>
        <w:t>The second QCA phase served as a systematic method for examining the similarities, differences, and anomalies among the final set of reviewed articles according to the above-de</w:t>
      </w:r>
      <w:r>
        <w:t>scribed two categories determined in the first QCA phase data reduction and organization process (Onwuegbuzie &amp; Weinbaum, 2017; Onwuegbuzie, Dickinson, Leech, &amp; Zoran, 2009). That is, the reviewed literature was categorized according to the commonalities i</w:t>
      </w:r>
      <w:r>
        <w:t>n overarching research topics, target populations, sampling frames, sampling and data collection methodologies and measures, data analytic approaches and procedures, findings, and implications.</w:t>
      </w:r>
    </w:p>
    <w:p w14:paraId="3930DB24" w14:textId="77777777" w:rsidR="000A396A" w:rsidRDefault="000B545A">
      <w:r>
        <w:t>The qualitative comparative analysis of the reviewed literatur</w:t>
      </w:r>
      <w:r>
        <w:t xml:space="preserve">e was aided by the </w:t>
      </w:r>
      <w:r>
        <w:rPr>
          <w:rStyle w:val="VerbatimChar"/>
          <w:i/>
        </w:rPr>
        <w:t>RQDA</w:t>
      </w:r>
      <w:r>
        <w:t xml:space="preserve"> package created for use with the </w:t>
      </w:r>
      <w:r>
        <w:rPr>
          <w:rStyle w:val="VerbatimChar"/>
          <w:i/>
        </w:rPr>
        <w:t>R</w:t>
      </w:r>
      <w:r>
        <w:rPr>
          <w:i/>
        </w:rPr>
        <w:t xml:space="preserve"> Statistical Programming Language and Environment</w:t>
      </w:r>
      <w:r>
        <w:t xml:space="preserve"> (Huang, 2014; R Core Team, 2016).</w:t>
      </w:r>
    </w:p>
    <w:p w14:paraId="2253C96C" w14:textId="77777777" w:rsidR="000A396A" w:rsidRDefault="000B545A">
      <w:pPr>
        <w:pStyle w:val="Heading1"/>
      </w:pPr>
      <w:bookmarkStart w:id="6" w:name="v.-integrative-literature-description-an"/>
      <w:bookmarkEnd w:id="6"/>
      <w:r>
        <w:lastRenderedPageBreak/>
        <w:t>V. Integrative Literature Description and Review</w:t>
      </w:r>
    </w:p>
    <w:p w14:paraId="036309CE" w14:textId="77777777" w:rsidR="000A396A" w:rsidRDefault="000B545A">
      <w:pPr>
        <w:pStyle w:val="Heading2"/>
      </w:pPr>
      <w:bookmarkStart w:id="7" w:name="publication-years"/>
      <w:bookmarkEnd w:id="7"/>
      <w:r>
        <w:t>Publication Years</w:t>
      </w:r>
    </w:p>
    <w:p w14:paraId="097BE7F3" w14:textId="77777777" w:rsidR="000A396A" w:rsidRDefault="000B545A">
      <w:r>
        <w:t xml:space="preserve">Although the previously-described database searches allowed for any research published between 1965 and the current year (2017), the earliest publication date in the literature reviewed here is 1991. This timespan aligns with the political and legislative </w:t>
      </w:r>
      <w:r>
        <w:t>history of U.S. domestic violence policy and social movement(s). For instance, the original Violence Against Women Act, which imposed provisions to actually enforce the illegality of family violence perpetration, was passed in 1996 (LeGates, 2001, Ch. 3).</w:t>
      </w:r>
    </w:p>
    <w:p w14:paraId="717E0D05" w14:textId="77777777" w:rsidR="000A396A" w:rsidRDefault="000B545A">
      <w:pPr>
        <w:pStyle w:val="Heading2"/>
      </w:pPr>
      <w:bookmarkStart w:id="8" w:name="specific-research-topics"/>
      <w:bookmarkEnd w:id="8"/>
      <w:r>
        <w:t>Specific Research Topics</w:t>
      </w:r>
    </w:p>
    <w:p w14:paraId="0BC67E6B" w14:textId="77777777" w:rsidR="000A396A" w:rsidRDefault="000B545A">
      <w:r>
        <w:t>The primary research topic across the empirical literature reviewed here is evaluation of interventions targeting IPV perpetration or victimization. However, the level, scope, and specific focus on evaluations is somewhat varied ac</w:t>
      </w:r>
      <w:r>
        <w:t>ross this literature.</w:t>
      </w:r>
    </w:p>
    <w:p w14:paraId="58EC7D40" w14:textId="77777777" w:rsidR="000A396A" w:rsidRDefault="000B545A">
      <w:pPr>
        <w:pStyle w:val="Heading1"/>
      </w:pPr>
      <w:bookmarkStart w:id="9" w:name="review-of-key-findings"/>
      <w:bookmarkEnd w:id="9"/>
      <w:r>
        <w:lastRenderedPageBreak/>
        <w:t>Review of Key Findings</w:t>
      </w:r>
    </w:p>
    <w:p w14:paraId="038DEACD" w14:textId="77777777" w:rsidR="000A396A" w:rsidRDefault="000B545A">
      <w:pPr>
        <w:pStyle w:val="Heading2"/>
      </w:pPr>
      <w:bookmarkStart w:id="10" w:name="ipv-perpetrator-intervention-program-eva"/>
      <w:bookmarkEnd w:id="10"/>
      <w:r>
        <w:t xml:space="preserve">IPV Perpetrator Intervention Program Evaluations </w:t>
      </w:r>
    </w:p>
    <w:p w14:paraId="7675792F" w14:textId="77777777" w:rsidR="000A396A" w:rsidRDefault="000B545A">
      <w:r>
        <w:rPr>
          <w:smallCaps/>
        </w:rPr>
        <w:t>Brief History of U.S. IPV Perpetrator Interventions.</w:t>
      </w:r>
      <w:r>
        <w:t xml:space="preserve"> Efforts to address violence against women and in particular intimate partner and sexual violence in the Unit</w:t>
      </w:r>
      <w:r>
        <w:t xml:space="preserve">ed States began with an overall focus on treatment and tertiary intervention approaches, which, understandably, were primarily focused on addressing the immediate needs of victims. Until IPV perpetration became a crime in all 50 states, these efforts were </w:t>
      </w:r>
      <w:r>
        <w:t>in large part initiated and sustained on "grassroots" levels, connecting with and building upon one another toward efforts to affect more large-scale changes at the policy and structural levels. The criminalization of IPV perpetration was eventually follow</w:t>
      </w:r>
      <w:r>
        <w:t>ed by the enactment and enforcement of mandatory arrest laws across the country, which, while varied in scope and levels of implementation, essentially require police officers responding to calls deemed characteristic of domestic violence impose some level</w:t>
      </w:r>
      <w:r>
        <w:t xml:space="preserve"> of punitive action against the accused offender in the situation. These laws were created and continue to be enforced under the goal of ensuring victims' safety. The U.S. Violence Against Women Act of 1996 shared a similarly victim-safety-centered purpose</w:t>
      </w:r>
      <w:r>
        <w:t xml:space="preserve"> and, among a plethora of policy implications, was the first national-level policy providing at least a minimal amount of federal and state-level funding allocations specifically for developing and sustaining services for victims of IPV in each U.S. state.</w:t>
      </w:r>
    </w:p>
    <w:p w14:paraId="13B7018E" w14:textId="77777777" w:rsidR="000A396A" w:rsidRDefault="000B545A">
      <w:pPr>
        <w:pStyle w:val="Heading2"/>
      </w:pPr>
      <w:bookmarkStart w:id="11" w:name="early-evaluations-of-ipv-perpetrator-int"/>
      <w:bookmarkEnd w:id="11"/>
      <w:r>
        <w:t>Early Evaluations of IPV Perpetrator Intervention Programs</w:t>
      </w:r>
    </w:p>
    <w:p w14:paraId="6EC35344" w14:textId="77777777" w:rsidR="000A396A" w:rsidRDefault="000B545A">
      <w:r>
        <w:t xml:space="preserve">Using naturalistic observations and key informant reports of IPV perpetrators' reassault rates </w:t>
      </w:r>
      <w:r>
        <w:rPr>
          <w:rStyle w:val="VerbatimChar"/>
        </w:rPr>
        <w:t>during the first</w:t>
      </w:r>
      <w:r>
        <w:t xml:space="preserve"> 15 months following their initial intake into the </w:t>
      </w:r>
      <w:r>
        <w:rPr>
          <w:rStyle w:val="VerbatimChar"/>
        </w:rPr>
        <w:t>intervention program</w:t>
      </w:r>
      <w:r>
        <w:t>, Edward W Gon</w:t>
      </w:r>
      <w:r>
        <w:t xml:space="preserve">dolf (1999) provides a comparative evaluation of four IPV perpetrator intervention systems in four U.S. cities (i.e., Pittsburg, PA; Houston, TX; Dallas, TX; and </w:t>
      </w:r>
      <w:r>
        <w:lastRenderedPageBreak/>
        <w:t>Denver, CO). Findings from this study are, however, somewhat mixed in that comparisons to eval</w:t>
      </w:r>
      <w:r>
        <w:t>uate differences in reassault rates across the four study sites, representing a continuum of least-to-most comprehensive IPV perpetration intervention systems, showed few meaningful differences across intervention sites. </w:t>
      </w:r>
      <w:r>
        <w:rPr>
          <w:rStyle w:val="VerbatimChar"/>
        </w:rPr>
        <w:t xml:space="preserve">Distinctions across the four sites </w:t>
      </w:r>
      <w:r>
        <w:rPr>
          <w:rStyle w:val="VerbatimChar"/>
        </w:rPr>
        <w:t>are, however, more evident when individual perpetrator characteristics (e.g., psychopathology, substance abuse, previous arrests, etc.) and referral sources (e.g., court-mandated versus referral sources outside the court system) are also taken into account</w:t>
      </w:r>
      <w:r>
        <w:t xml:space="preserve">. Further, while there was no significant effect of intervention site on reassault rates, the effect of the most comprehensive intervention system among the four included in the study </w:t>
      </w:r>
      <w:r>
        <w:rPr>
          <w:rStyle w:val="VerbatimChar"/>
        </w:rPr>
        <w:t>does tend toward significance</w:t>
      </w:r>
      <w:r>
        <w:t>, particularly when this site's effect is c</w:t>
      </w:r>
      <w:r>
        <w:t>ompared with the least comprehensive intervention system included in this evaluation.</w:t>
      </w:r>
    </w:p>
    <w:p w14:paraId="565E37C3" w14:textId="77777777" w:rsidR="000A396A" w:rsidRDefault="000B545A">
      <w:r>
        <w:t>Overall, the total recidivism rate observed across all four programs evaluated in Edward W Gondolf (1999)'s investigation (</w:t>
      </w:r>
      <m:oMath>
        <m:sSub>
          <m:sSubPr>
            <m:ctrlPr>
              <w:rPr>
                <w:rFonts w:ascii="Cambria Math" w:hAnsi="Cambria Math"/>
              </w:rPr>
            </m:ctrlPr>
          </m:sSubPr>
          <m:e>
            <m:r>
              <w:rPr>
                <w:rFonts w:ascii="Cambria Math" w:hAnsi="Cambria Math"/>
              </w:rPr>
              <m:t>n</m:t>
            </m:r>
          </m:e>
          <m:sub>
            <m:r>
              <w:rPr>
                <w:rFonts w:ascii="Cambria Math" w:hAnsi="Cambria Math"/>
              </w:rPr>
              <m:t>total</m:t>
            </m:r>
          </m:sub>
        </m:sSub>
        <m:r>
          <w:rPr>
            <w:rFonts w:ascii="Cambria Math" w:hAnsi="Cambria Math"/>
          </w:rPr>
          <m:t>=656</m:t>
        </m:r>
      </m:oMath>
      <w:r>
        <w:t>) was 32%  for physical abuse a</w:t>
      </w:r>
      <w:r>
        <w:t>nd 43-70% for non-physical abuse (i.e., controlling behaviors, 45%; verbal abuse, 70%; and threats, 43%). In addition, 72%  partner respondents reported that they "feel 'very safe'" and 66%  indicated that they were "'very unlikely' to be hit". However, on</w:t>
      </w:r>
      <w:r>
        <w:t>ly 12%  rated their overall quality of life following their partners' completion of the intervention as "better", another 12% rated their quality of life as "worse", while 22%  rated their quality of life as the "same" as it was prior to their partners' in</w:t>
      </w:r>
      <w:r>
        <w:t>tervention participation (p. 53).</w:t>
      </w:r>
    </w:p>
    <w:p w14:paraId="778E0895" w14:textId="77777777" w:rsidR="000A396A" w:rsidRDefault="000B545A">
      <w:r>
        <w:t>Despite these mixed findings, Edward W Gondolf (1999)'</w:t>
      </w:r>
      <w:r>
        <w:t>s, relatively, early investigation into the possible differential effects of IPV perpetrator intervention systems representing four distinct points along a continuum from least-to-most comprehensive systems informs questions regarding system-, dyadic-, and</w:t>
      </w:r>
      <w:r>
        <w:t xml:space="preserve"> individual-level factors that may influence these systems' efficacy at reducing reassault among men who have perpetrated IPV toward one or more female </w:t>
      </w:r>
      <w:r>
        <w:lastRenderedPageBreak/>
        <w:t>intimate partners. In particular, Edward W Gondolf (1999)'s findings regarding differences across the fo</w:t>
      </w:r>
      <w:r>
        <w:t>ur intervention systems were most informative to understanding the effectiveness of IPV perpetrator programs when multiple levels of analysis are considered. That is, the effects of intervention systems' characteristics (i.e., comprehensiveness of services</w:t>
      </w:r>
      <w:r>
        <w:t xml:space="preserve"> and intervention program length) on reassault rates appears </w:t>
      </w:r>
      <w:r>
        <w:rPr>
          <w:rStyle w:val="VerbatimChar"/>
        </w:rPr>
        <w:t>rather</w:t>
      </w:r>
      <w:r>
        <w:t xml:space="preserve"> sensitive to the inclusion of system-level variables not specific to the IPV perpetrator intervention itself (e.g., referral sources) and dyadic- and individual-level variables (e.g., vict</w:t>
      </w:r>
      <w:r>
        <w:t>im-perpetrator contact during the 15-month study period, perpetrators' IPV-related and non-IPV-related criminal backgrounds, perpetrators' substance use or abuse, etc.) in each analysis.</w:t>
      </w:r>
    </w:p>
    <w:p w14:paraId="1EEC26AE" w14:textId="77777777" w:rsidR="000A396A" w:rsidRDefault="000B545A">
      <w:r>
        <w:t>The primary data source for Edward W Gondolf (1999)'s study's outcome</w:t>
      </w:r>
      <w:r>
        <w:t xml:space="preserve"> variables is key informant reports provided by participating IPV perpetrators' current romantic partners, </w:t>
      </w:r>
      <w:r>
        <w:rPr>
          <w:rStyle w:val="VerbatimChar"/>
        </w:rPr>
        <w:t>regardless of whether those partners were</w:t>
      </w:r>
      <w:r>
        <w:t xml:space="preserve"> the original victims leading to the men's intervention program participation. This sampling and data collec</w:t>
      </w:r>
      <w:r>
        <w:t>tion method is an interesting approach to evaluating IPV perpetrator interventions, and the use of key informant reports (e.g., victims', current and/or past romantic partners', and intervention program facilitators' perspectives used as primary or seconda</w:t>
      </w:r>
      <w:r>
        <w:t xml:space="preserve">ry reports of program participants' behavior) is </w:t>
      </w:r>
      <w:r>
        <w:rPr>
          <w:rStyle w:val="VerbatimChar"/>
        </w:rPr>
        <w:t>somewhat thematic across a subset of subsequently-published literature included in this review</w:t>
      </w:r>
      <w:r>
        <w:t xml:space="preserve"> (e.g., Gregory &amp; Erez, 2002; Silvergleid &amp; Mankowski, 2006). </w:t>
      </w:r>
      <w:r>
        <w:rPr>
          <w:rStyle w:val="VerbatimChar"/>
        </w:rPr>
        <w:t>An additionally notable characteristic of</w:t>
      </w:r>
      <w:r>
        <w:t xml:space="preserve"> Edward W </w:t>
      </w:r>
      <w:r>
        <w:t xml:space="preserve">Gondolf (1999)'s </w:t>
      </w:r>
      <w:r>
        <w:rPr>
          <w:rStyle w:val="VerbatimChar"/>
        </w:rPr>
        <w:t>evaluation report</w:t>
      </w:r>
      <w:r>
        <w:t xml:space="preserve"> is the transparency with which the study's results are presented. While the evaluation ultimately provided, at best, mixed support for more the effect of more comprehensive IPV perpetration intervention systems, the resul</w:t>
      </w:r>
      <w:r>
        <w:t>ts are presented such a way that acknowledge the state of this specific practice's field, which, at the time of the study's publication, is possibly best characterized as disjointed and in need of a more concrete and consistent evidence-base.</w:t>
      </w:r>
    </w:p>
    <w:p w14:paraId="6494A013" w14:textId="77777777" w:rsidR="000A396A" w:rsidRDefault="000B545A">
      <w:r>
        <w:rPr>
          <w:rStyle w:val="VerbatimChar"/>
        </w:rPr>
        <w:lastRenderedPageBreak/>
        <w:t>In a separate</w:t>
      </w:r>
      <w:r>
        <w:rPr>
          <w:rStyle w:val="VerbatimChar"/>
        </w:rPr>
        <w:t xml:space="preserve"> effort to</w:t>
      </w:r>
      <w:r>
        <w:t xml:space="preserve"> inform the question of IPV perpetrator intervention effectiveness from the victims'/survivors' perspectives, Gregory &amp; Erez (2002) conducted in-depth one-on-one interviews with 33 women identified via police reports as having experienced IPV vic</w:t>
      </w:r>
      <w:r>
        <w:t>timization perpetrated by men referred to a local IPV perpetrator intervention program in a rural Ohio county. Interview questions sought information regarding the offenders' behaviors before, during, and after their participation in the intervention. Rega</w:t>
      </w:r>
      <w:r>
        <w:t>rding survivors' accounts of offenders' behaviors prior to being referred to the intervention, the authors found that many of the men entering the intervention had also been physically violent with past romantic partners, close relatives, and male friends.</w:t>
      </w:r>
      <w:r>
        <w:t xml:space="preserve"> In addition, a substantial proportion of survivor respondents indicated that jealousy, substance abuse, and family-related issues (e.g., issues related to children, finances, household chores, etc.) were apparent causes of conflict leading to the perpetra</w:t>
      </w:r>
      <w:r>
        <w:t>tors' use of violence. Survivors' also provided insights into their assessments of more underlying causes of abuse, including issues related to power and control, their partners' low self-esteem, and conflict related to sexual/intimacy issues and the perpe</w:t>
      </w:r>
      <w:r>
        <w:t>trators' infidelity in the relationship. Regarding program participants' partners' accounts of the intervention's effectiveness, the majority of the 33 respondents in Gregory &amp; Erez (2002)'s evaluation indicated either a decrease or complete elimination of</w:t>
      </w:r>
      <w:r>
        <w:t xml:space="preserve"> violence in their relationships, while a third of the partners reported that the intervention program in fact became a new source of conflict in their relationship, and 19% reported abuse during or following the offenders' program completion.</w:t>
      </w:r>
    </w:p>
    <w:p w14:paraId="34CDE1F4" w14:textId="77777777" w:rsidR="000A396A" w:rsidRDefault="000B545A">
      <w:r>
        <w:t>A particular</w:t>
      </w:r>
      <w:r>
        <w:t>ly notable descriptive finding from Gregory &amp; Erez (2002)'s investigation is that, on average, over seven years lapsed between the first occurrence of IPV in the relationships accounted for by the study's survivor respondents and the IPV incident resulting</w:t>
      </w:r>
      <w:r>
        <w:t xml:space="preserve"> in the perpetrators' referrals to the intervention program. Although not explicitly connected in the </w:t>
      </w:r>
      <w:r>
        <w:lastRenderedPageBreak/>
        <w:t>study's findings report nor discussion, this finding may inform survivor respondents' apparent consensus that jail time should be an immediate and/or unco</w:t>
      </w:r>
      <w:r>
        <w:t>nditional sanction imposed against individuals found guilty and/or under investigation for IPV perpetration. Further, an average time-lapse of this magnitude indicates a potentially critical flaw in the implantation of any form of a coordinated community r</w:t>
      </w:r>
      <w:r>
        <w:t>esponse to IPV (Hart, 1995).</w:t>
      </w:r>
    </w:p>
    <w:p w14:paraId="59621A71" w14:textId="77777777" w:rsidR="000A396A" w:rsidRDefault="000B545A">
      <w:r>
        <w:t xml:space="preserve">Gregory &amp; Erez (2002)'s evaluation is restricted to female survivors' accounts of male IPV perpetrators court-mandated, either as part of post-sentencing probationary requirements or deferred-sentencing conditions, to complete </w:t>
      </w:r>
      <w:r>
        <w:t>the intervention, and therefore does not include accounts of the intervention programs' participants who are not referred to the program by the courts. Gregory &amp; Erez (2002)'s sample further excludes accounts of same-gender IPV perpetration or victimizatio</w:t>
      </w:r>
      <w:r>
        <w:t>n, as well as IPV perpetrated by female-identified individuals toward male-identified partners. This sampling frame is similar to that defined in Edward W Gondolf (1999)'s investigation (summarized above) both in terms of the specific included and excluded</w:t>
      </w:r>
      <w:r>
        <w:t xml:space="preserve"> populations, as well as the fact that the sampling restrictions in both studies are, at least to some degree, a function of the populations served by the study sites themselves. That is, at the time the studies were conducted, the intervention programs ev</w:t>
      </w:r>
      <w:r>
        <w:t>aluated in both investigations provided IPV perpetrator intervention services only to male-identified individuals who perpetrated IPV toward female-identified partners.</w:t>
      </w:r>
    </w:p>
    <w:p w14:paraId="239D41DC" w14:textId="77777777" w:rsidR="000A396A" w:rsidRDefault="000B545A">
      <w:r>
        <w:t>Hendricks, Werner, Shipway, &amp; Turinetti (2006) conducted a comparative evaluation of tw</w:t>
      </w:r>
      <w:r>
        <w:t>o IPV perpetrator intervention programs in a small metropolitan Wisconsin county (Ingram &amp; Franco, 2012). Although Hendricks et al. (2006) ultimately describes the programs evaluated their investigation as two independent interventions, one of the programs</w:t>
      </w:r>
      <w:r>
        <w:t xml:space="preserve">, </w:t>
      </w:r>
      <w:r>
        <w:rPr>
          <w:i/>
        </w:rPr>
        <w:t>"Reasoning &amp; Rehabilitation (R&amp;R)"</w:t>
      </w:r>
      <w:r>
        <w:t xml:space="preserve"> is in fact evaluated as a </w:t>
      </w:r>
      <w:r>
        <w:rPr>
          <w:rStyle w:val="VerbatimChar"/>
        </w:rPr>
        <w:t>sort of nested or secondary</w:t>
      </w:r>
      <w:r>
        <w:t xml:space="preserve"> intervention </w:t>
      </w:r>
      <w:r>
        <w:lastRenderedPageBreak/>
        <w:t xml:space="preserve">within the county's larger IPV perpetrator intervention system, </w:t>
      </w:r>
      <w:r>
        <w:rPr>
          <w:i/>
        </w:rPr>
        <w:t>"Stopping Abuse for Everyone (SAFE)"</w:t>
      </w:r>
      <w:r>
        <w:t xml:space="preserve"> (p. 704). That is, individuals are referred to the </w:t>
      </w:r>
      <w:r>
        <w:rPr>
          <w:i/>
        </w:rPr>
        <w:t>R&amp;R</w:t>
      </w:r>
      <w:r>
        <w:t xml:space="preserve"> program </w:t>
      </w:r>
      <w:r>
        <w:rPr>
          <w:rStyle w:val="VerbatimChar"/>
        </w:rPr>
        <w:t>if they are determined as in need of</w:t>
      </w:r>
      <w:r>
        <w:t xml:space="preserve"> greater levels of supervision based on a clinical assessment administered during the </w:t>
      </w:r>
      <w:r>
        <w:rPr>
          <w:i/>
        </w:rPr>
        <w:t>SAFE</w:t>
      </w:r>
      <w:r>
        <w:t xml:space="preserve"> program's intake process. Such individuals are expected to return to and complete the </w:t>
      </w:r>
      <w:r>
        <w:rPr>
          <w:i/>
        </w:rPr>
        <w:t>SAFE</w:t>
      </w:r>
      <w:r>
        <w:t xml:space="preserve"> program's intervention aft</w:t>
      </w:r>
      <w:r>
        <w:t xml:space="preserve">er completing the additional </w:t>
      </w:r>
      <w:r>
        <w:rPr>
          <w:i/>
        </w:rPr>
        <w:t>R&amp;R</w:t>
      </w:r>
      <w:r>
        <w:t xml:space="preserve"> program. Hendricks et al. (2006)'s investigation also included an evaluation of the predictive validity of the </w:t>
      </w:r>
      <w:r>
        <w:rPr>
          <w:i/>
        </w:rPr>
        <w:t>Level of Service Inventory–Revised</w:t>
      </w:r>
      <w:r>
        <w:t xml:space="preserve"> (</w:t>
      </w:r>
      <w:r>
        <w:rPr>
          <w:i/>
        </w:rPr>
        <w:t>LSI-R</w:t>
      </w:r>
      <w:r>
        <w:t>; Andrews &amp; Bonta, 1995), which is the assessment administered to deter</w:t>
      </w:r>
      <w:r>
        <w:t xml:space="preserve">mine intervention participants' levels of risk and need at intake for the </w:t>
      </w:r>
      <w:r>
        <w:rPr>
          <w:i/>
        </w:rPr>
        <w:t>SAFE</w:t>
      </w:r>
      <w:r>
        <w:t xml:space="preserve"> program. Regarding the latter, results from logistic regression analyses provided minimal support for the LSI-R scale's accuracy, sensitivity, and specificity in correctly class</w:t>
      </w:r>
      <w:r>
        <w:t>ifying recidivating intervention participants (overall classification accuracy = 66% correct). However, while formal logistic regression analysis was not similarly conducted to examine the measure's predictive accuracy regarding program placement, comparis</w:t>
      </w:r>
      <w:r>
        <w:t xml:space="preserve">ons via cross-tabulations and chi-square ($\chisq$) analyses revealed significant differences in both LSI-R scores and recidivism rates among intervention participants. Specifically, participants who completed the </w:t>
      </w:r>
      <w:r>
        <w:rPr>
          <w:i/>
        </w:rPr>
        <w:t>SAFE</w:t>
      </w:r>
      <w:r>
        <w:t xml:space="preserve"> program without referral to the </w:t>
      </w:r>
      <w:r>
        <w:rPr>
          <w:i/>
        </w:rPr>
        <w:t>R&amp;R</w:t>
      </w:r>
      <w:r>
        <w:t xml:space="preserve"> p</w:t>
      </w:r>
      <w:r>
        <w:t xml:space="preserve">rogram (14.4% recidivated) had significantly lower recidivism rates than those who completed both interventions (32.4% recidivated; $\chisq(1) = 6.26,~p &lt; .05$). As Hendricks et al. (2006) note, because participants were referred to the </w:t>
      </w:r>
      <w:r>
        <w:rPr>
          <w:i/>
        </w:rPr>
        <w:t>R&amp;R</w:t>
      </w:r>
      <w:r>
        <w:t xml:space="preserve"> program on the </w:t>
      </w:r>
      <w:r>
        <w:t>basis of their LSI-R scores, these differences in recidivism rates do not necessarily inform comparisons regarding each intervention program's individual effectiveness at reducing or preventing future violence perpetration among participants. However, a po</w:t>
      </w:r>
      <w:r>
        <w:t xml:space="preserve">ssibly missing point in Hendricks et al. (2006)'s report and analytic conclusions is that these observed </w:t>
      </w:r>
      <w:r>
        <w:lastRenderedPageBreak/>
        <w:t xml:space="preserve">differences may provide support for the discriminant validity of the LSI-R as a measure effective in determining the relative risk and needs levels of </w:t>
      </w:r>
      <w:r>
        <w:t>IPV perpetration intervention participants.</w:t>
      </w:r>
    </w:p>
    <w:p w14:paraId="62F46279" w14:textId="77777777" w:rsidR="000A396A" w:rsidRDefault="000B545A">
      <w:r>
        <w:t>In general, research on the effectiveness of IPV perpetrator intervention programs in the late 1990s and early 2000s, including the above-reviewed research, provides a mixture of evidence in favor and not in favo</w:t>
      </w:r>
      <w:r>
        <w:t>r of these programs' effectiveness (Feder &amp; Wilson, 2005). The above-reviewed subset of the IPV-related literature reiterates the general ambiguity regarding effective approaches to IPV interventions. Nonetheless, it is important to understand the processe</w:t>
      </w:r>
      <w:r>
        <w:t>s underlying successful outcomes (e.g., reduced or eliminated recidivism among participants) in these interventions. Silvergleid &amp; Mankowski (2006) provide one such exploration of the key processes facilitating positive change among men who successfully co</w:t>
      </w:r>
      <w:r>
        <w:t>mpleted an IPV perpetrator intervention program in Portland, Oregon.</w:t>
      </w:r>
    </w:p>
    <w:p w14:paraId="547295B8" w14:textId="77777777" w:rsidR="000A396A" w:rsidRDefault="000B545A">
      <w:r>
        <w:t>Silvergleid &amp; Mankowski (2006) conducted in-depth, semi-structured, one-on-one interviews with ten intervention group facilitators and nine men who were within two-weeks of having complet</w:t>
      </w:r>
      <w:r>
        <w:t>ed their participation in the intervention and who were nominated by group facilitators. Four levels of change processes were identified through inductive thematic analysis of the interview data: (1) "community and extratherapeutic influences", (2) "organi</w:t>
      </w:r>
      <w:r>
        <w:t xml:space="preserve">zational influences", (3) "group processes", and (4) "individual psychological development" (p. 144). The group-level processes seem especially influential in terms of facilitating a </w:t>
      </w:r>
      <w:r>
        <w:rPr>
          <w:i/>
        </w:rPr>
        <w:t>process</w:t>
      </w:r>
      <w:r>
        <w:t xml:space="preserve"> of change, in that this level of influence is further categorized</w:t>
      </w:r>
      <w:r>
        <w:t xml:space="preserve"> into three sub-processes that appear to build from one another: (1) balancing support and confrontation, (2) sharing and hearing stories, and (3) modeling and mentoring. Facilitators' accounts further emphasized the group-level influences as instrumental </w:t>
      </w:r>
      <w:r>
        <w:t>in the process underlying intervention participants' "'resocialization' into a new manhood" (p. 151).</w:t>
      </w:r>
    </w:p>
    <w:p w14:paraId="4AE6A4E9" w14:textId="77777777" w:rsidR="000A396A" w:rsidRDefault="000B545A">
      <w:r>
        <w:lastRenderedPageBreak/>
        <w:t>Contrino, Dermen, Nochajski, Wieczorek, &amp; Navratil (2007) quantitatively examined intervention program participants' levels of compliance with program req</w:t>
      </w:r>
      <w:r>
        <w:t>uirements (e.g., attendance, engagement with the program, maintaining sobriety, nonviolence, etc.) and the extent to which participants retain key components of the intervention's content (e.g., power and control dynamics versus non-controlling behaviors).</w:t>
      </w:r>
      <w:r>
        <w:t xml:space="preserve"> This investigation's focus aligns with Silvergleid &amp; Mankowski (2006)'s qualitative findings regarding key influences underlying and facilitating IPV perpetrator intervention program participants' change processes. Specifically, interviewees in Silverglei</w:t>
      </w:r>
      <w:r>
        <w:t xml:space="preserve">d &amp; Mankowski (2006)'s sample emphasized the importance of learning new skills (e.g., taking a 'time-out') and engagement with program activities (e.g., reading required texts, journaling, acknowledging their past violent behaviors and the impact of those </w:t>
      </w:r>
      <w:r>
        <w:t>behaviors on others, etc.) in the change processes experienced by program participants:</w:t>
      </w:r>
    </w:p>
    <w:p w14:paraId="0D515C29" w14:textId="77777777" w:rsidR="000A396A" w:rsidRDefault="000B545A">
      <w:pPr>
        <w:pStyle w:val="BlockText"/>
      </w:pPr>
      <w:r>
        <w:t>"The most emphasized aspect of awareness was the participant’s new understanding of the effects of their abuse on others. For many men, truly sit- ting with that unders</w:t>
      </w:r>
      <w:r>
        <w:t>tanding, the devastating impact of their actions on those around them, was a strong impetus for change" (Silvergleid &amp; Mankowski (2006), p. 153).</w:t>
      </w:r>
    </w:p>
    <w:p w14:paraId="05493863" w14:textId="77777777" w:rsidR="000A396A" w:rsidRDefault="000B545A">
      <w:r>
        <w:t xml:space="preserve">Findings from Contrino et al. (2007)'s process evaluation somewhat reiterate Silvergleid &amp; Mankowski (2006)'s </w:t>
      </w:r>
      <w:r>
        <w:t>findings in that participants' recall of intervention content related to power and control dynamics levels of compliance with certain domains of program expectations, including (1) using techniques to avoid violence, (2) process-consciousness and communica</w:t>
      </w:r>
      <w:r>
        <w:t>tion skills, (3) self-disclosure of ones's feelings and non-defensiveness, and (4) use of respectful language. Other assessed program expectations including participants' program attendance, active engagement in group sessions, sobriety, nonviolence, and h</w:t>
      </w:r>
      <w:r>
        <w:t xml:space="preserve">elp-seeking were not </w:t>
      </w:r>
      <w:r>
        <w:lastRenderedPageBreak/>
        <w:t>associated with the number of forms of power and control they were able to recall (see Edward W Gondolf &amp; Wernik, 2009).</w:t>
      </w:r>
    </w:p>
    <w:p w14:paraId="6504D6E0" w14:textId="77777777" w:rsidR="000A396A" w:rsidRDefault="000B545A">
      <w:pPr>
        <w:pStyle w:val="Heading1"/>
      </w:pPr>
      <w:bookmarkStart w:id="12" w:name="vi.-critical-methodological-evaluation"/>
      <w:bookmarkEnd w:id="12"/>
      <w:r>
        <w:lastRenderedPageBreak/>
        <w:t>VI. Critical Methodological Evaluation</w:t>
      </w:r>
    </w:p>
    <w:p w14:paraId="05B42FF6" w14:textId="77777777" w:rsidR="000A396A" w:rsidRDefault="000B545A">
      <w:r>
        <w:t>Research conducted within the subset of community psychology focused around intimate partner violence was initially evaluated according to the level of inclusion and exclusion of the historically marginalized population of interest: sexual minority women (</w:t>
      </w:r>
      <w:r>
        <w:t>SMW). The implementation of action-oriented Community Psychology methodologies and analytic approaches will then be reviewed within each of these categories (i.e., inclusion or exclusion of SMW) in terms of (1) the appropriateness of the methods to the res</w:t>
      </w:r>
      <w:r>
        <w:t>earch question, (2) how the methods facilitated the inclusion or exclusion of sexual minority women, and (3) whether and how (where applicable) exclusion of sexual minority women is justified.</w:t>
      </w:r>
    </w:p>
    <w:p w14:paraId="6CA0A903" w14:textId="77777777" w:rsidR="000A396A" w:rsidRDefault="000B545A">
      <w:pPr>
        <w:pStyle w:val="Heading2"/>
      </w:pPr>
      <w:bookmarkStart w:id="13" w:name="overarching-critique-criterion"/>
      <w:bookmarkEnd w:id="13"/>
      <w:r>
        <w:t>Overarching Critique Criterion</w:t>
      </w:r>
    </w:p>
    <w:p w14:paraId="6A80BE37" w14:textId="77777777" w:rsidR="000A396A" w:rsidRDefault="000B545A">
      <w:r>
        <w:rPr>
          <w:smallCaps/>
        </w:rPr>
        <w:t>Rigor in Action-Research Methods</w:t>
      </w:r>
      <w:r>
        <w:t>:</w:t>
      </w:r>
    </w:p>
    <w:p w14:paraId="680E33FF" w14:textId="77777777" w:rsidR="000A396A" w:rsidRDefault="000B545A">
      <w:pPr>
        <w:pStyle w:val="Compact"/>
        <w:numPr>
          <w:ilvl w:val="0"/>
          <w:numId w:val="40"/>
        </w:numPr>
      </w:pPr>
      <w:r>
        <w:t>Choice, description, justification, appropriateness, and execution of overarching methodology (i.e., quantitative, qualitative, or Mixed-Methods), sampling frame definition, sampling and data collection methods, and analytic approaches.</w:t>
      </w:r>
    </w:p>
    <w:p w14:paraId="03EDACAF" w14:textId="77777777" w:rsidR="000A396A" w:rsidRDefault="000B545A">
      <w:pPr>
        <w:pStyle w:val="Compact"/>
        <w:numPr>
          <w:ilvl w:val="0"/>
          <w:numId w:val="40"/>
        </w:numPr>
      </w:pPr>
      <w:r>
        <w:t>Interpretations o</w:t>
      </w:r>
      <w:r>
        <w:t>f results, limitations, results interpretations.</w:t>
      </w:r>
    </w:p>
    <w:p w14:paraId="50067064" w14:textId="77777777" w:rsidR="000A396A" w:rsidRDefault="000B545A">
      <w:pPr>
        <w:pStyle w:val="Compact"/>
        <w:numPr>
          <w:ilvl w:val="0"/>
          <w:numId w:val="40"/>
        </w:numPr>
      </w:pPr>
      <w:r>
        <w:t>Presentation, dissemination, application, and accessibility of the research.</w:t>
      </w:r>
    </w:p>
    <w:p w14:paraId="22129CB9" w14:textId="77777777" w:rsidR="000A396A" w:rsidRDefault="000B545A">
      <w:pPr>
        <w:pStyle w:val="Compact"/>
        <w:numPr>
          <w:ilvl w:val="0"/>
          <w:numId w:val="40"/>
        </w:numPr>
      </w:pPr>
      <w:r>
        <w:t>Transparency and reproducibility of the research methods, findings, and limitations</w:t>
      </w:r>
    </w:p>
    <w:p w14:paraId="3F132A5E" w14:textId="77777777" w:rsidR="000A396A" w:rsidRDefault="000B545A">
      <w:r>
        <w:rPr>
          <w:smallCaps/>
        </w:rPr>
        <w:t>Stakeholder Input.</w:t>
      </w:r>
      <w:r>
        <w:t>:</w:t>
      </w:r>
    </w:p>
    <w:p w14:paraId="5D4D24B9" w14:textId="77777777" w:rsidR="000A396A" w:rsidRDefault="000B545A">
      <w:pPr>
        <w:pStyle w:val="Compact"/>
        <w:numPr>
          <w:ilvl w:val="0"/>
          <w:numId w:val="41"/>
        </w:numPr>
      </w:pPr>
      <w:r>
        <w:t>Are efforts made to ensure</w:t>
      </w:r>
      <w:r>
        <w:t xml:space="preserve"> that </w:t>
      </w:r>
      <w:r>
        <w:rPr>
          <w:i/>
        </w:rPr>
        <w:t>all available</w:t>
      </w:r>
      <w:r>
        <w:t xml:space="preserve"> stakeholders' and informants' voices and accessibility considered equally, and that certain voices are not unjustifiably privileged over others?</w:t>
      </w:r>
    </w:p>
    <w:p w14:paraId="7386BF78" w14:textId="77777777" w:rsidR="000A396A" w:rsidRDefault="000B545A">
      <w:pPr>
        <w:pStyle w:val="Compact"/>
        <w:numPr>
          <w:ilvl w:val="0"/>
          <w:numId w:val="41"/>
        </w:numPr>
      </w:pPr>
      <w:r>
        <w:t xml:space="preserve">Are primary and distal stakeholders and informants to the research given access to reports </w:t>
      </w:r>
      <w:r>
        <w:t>of a given project's progress and/or findings? Is such access in fact accessible (i.e., free and easy to locate)?</w:t>
      </w:r>
    </w:p>
    <w:p w14:paraId="136C5EE0" w14:textId="77777777" w:rsidR="000A396A" w:rsidRDefault="000B545A">
      <w:r>
        <w:rPr>
          <w:smallCaps/>
        </w:rPr>
        <w:t>Interpretations of Findings.</w:t>
      </w:r>
    </w:p>
    <w:p w14:paraId="3F8069A7" w14:textId="77777777" w:rsidR="000A396A" w:rsidRDefault="000B545A">
      <w:pPr>
        <w:pStyle w:val="Compact"/>
        <w:numPr>
          <w:ilvl w:val="0"/>
          <w:numId w:val="42"/>
        </w:numPr>
      </w:pPr>
      <w:r>
        <w:t>Is feedback from key stakeholders and informants to the research accepted and genuinely considered by the core re</w:t>
      </w:r>
      <w:r>
        <w:t>search team?</w:t>
      </w:r>
    </w:p>
    <w:p w14:paraId="3C6200F0" w14:textId="77777777" w:rsidR="000A396A" w:rsidRDefault="000B545A">
      <w:pPr>
        <w:pStyle w:val="Compact"/>
        <w:numPr>
          <w:ilvl w:val="0"/>
          <w:numId w:val="42"/>
        </w:numPr>
      </w:pPr>
      <w:r>
        <w:t xml:space="preserve">Are efforts made to ensure that </w:t>
      </w:r>
      <w:r>
        <w:rPr>
          <w:i/>
        </w:rPr>
        <w:t>all available</w:t>
      </w:r>
      <w:r>
        <w:t xml:space="preserve"> stakeholders' and informants' voices and accessibility considered equally, and that certain voices are not unjustifiably privileged over others?</w:t>
      </w:r>
    </w:p>
    <w:p w14:paraId="16CAC5CA" w14:textId="77777777" w:rsidR="000A396A" w:rsidRDefault="000B545A">
      <w:r>
        <w:rPr>
          <w:smallCaps/>
        </w:rPr>
        <w:t>How the methods facilitate the inclusion or exclusio</w:t>
      </w:r>
      <w:r>
        <w:rPr>
          <w:smallCaps/>
        </w:rPr>
        <w:t>n of specific populations</w:t>
      </w:r>
    </w:p>
    <w:p w14:paraId="7C129E9C" w14:textId="77777777" w:rsidR="000A396A" w:rsidRDefault="000B545A">
      <w:pPr>
        <w:pStyle w:val="Compact"/>
        <w:numPr>
          <w:ilvl w:val="0"/>
          <w:numId w:val="43"/>
        </w:numPr>
      </w:pPr>
      <w:r>
        <w:t>Whether and how exclusion of specific populations is justified (if applicable)</w:t>
      </w:r>
    </w:p>
    <w:p w14:paraId="715BCAC5" w14:textId="77777777" w:rsidR="000A396A" w:rsidRDefault="000B545A">
      <w:bookmarkStart w:id="14" w:name="_GoBack"/>
      <w:bookmarkEnd w:id="14"/>
      <w:r>
        <w:rPr>
          <w:smallCaps/>
        </w:rPr>
        <w:lastRenderedPageBreak/>
        <w:t xml:space="preserve">How the methods facilitate the inclusion or exclusion of </w:t>
      </w:r>
      <w:r>
        <w:rPr>
          <w:i/>
          <w:smallCaps/>
        </w:rPr>
        <w:t>sexual minority women</w:t>
      </w:r>
    </w:p>
    <w:p w14:paraId="697ECA65" w14:textId="77777777" w:rsidR="000A396A" w:rsidRDefault="000B545A">
      <w:pPr>
        <w:pStyle w:val="Compact"/>
        <w:numPr>
          <w:ilvl w:val="0"/>
          <w:numId w:val="44"/>
        </w:numPr>
      </w:pPr>
      <w:r>
        <w:t xml:space="preserve">Whether and how exclusion of </w:t>
      </w:r>
      <w:r>
        <w:rPr>
          <w:i/>
        </w:rPr>
        <w:t>sexual minority women</w:t>
      </w:r>
      <w:r>
        <w:t xml:space="preserve"> </w:t>
      </w:r>
      <w:r>
        <w:t>is justified (if applicable).</w:t>
      </w:r>
    </w:p>
    <w:p w14:paraId="40277502" w14:textId="77777777" w:rsidR="000A396A" w:rsidRDefault="000B545A">
      <w:pPr>
        <w:pStyle w:val="Heading2"/>
      </w:pPr>
      <w:bookmarkStart w:id="15" w:name="methodologies-methods-utilized"/>
      <w:bookmarkEnd w:id="15"/>
      <w:r>
        <w:t>Methodologies &amp; Methods Utilized</w:t>
      </w:r>
    </w:p>
    <w:p w14:paraId="44C0B248" w14:textId="77777777" w:rsidR="000A396A" w:rsidRDefault="000B545A">
      <w:r>
        <w:t>The majority of the reviewed studies follow quantitatively-based methodologies (</w:t>
      </w:r>
      <m:oMath>
        <m:r>
          <w:rPr>
            <w:rFonts w:ascii="Cambria Math" w:hAnsi="Cambria Math"/>
          </w:rPr>
          <m:t>n</m:t>
        </m:r>
        <m:r>
          <w:rPr>
            <w:rFonts w:ascii="Cambria Math" w:hAnsi="Cambria Math"/>
          </w:rPr>
          <m:t>=14;  61%</m:t>
        </m:r>
      </m:oMath>
      <w:r>
        <w:t>), with just over a quarter (</w:t>
      </w:r>
      <m:oMath>
        <m:r>
          <w:rPr>
            <w:rFonts w:ascii="Cambria Math" w:hAnsi="Cambria Math"/>
          </w:rPr>
          <m:t>n</m:t>
        </m:r>
        <m:r>
          <w:rPr>
            <w:rFonts w:ascii="Cambria Math" w:hAnsi="Cambria Math"/>
          </w:rPr>
          <m:t>=6</m:t>
        </m:r>
      </m:oMath>
      <w:r>
        <w:t xml:space="preserve">) employing qualitatively-based methodologies, and only four studies </w:t>
      </w:r>
      <w:r>
        <w:t xml:space="preserve">utilizing mixed-methodological approaches. Of the reviewed quantitatively-based studies, </w:t>
      </w:r>
      <m:oMath>
        <m:r>
          <w:rPr>
            <w:rFonts w:ascii="Cambria Math" w:hAnsi="Cambria Math"/>
          </w:rPr>
          <m:t>86%</m:t>
        </m:r>
      </m:oMath>
      <w:r>
        <w:t xml:space="preserve"> (</w:t>
      </w:r>
      <m:oMath>
        <m:r>
          <w:rPr>
            <w:rFonts w:ascii="Cambria Math" w:hAnsi="Cambria Math"/>
          </w:rPr>
          <m:t>n</m:t>
        </m:r>
        <m:r>
          <w:rPr>
            <w:rFonts w:ascii="Cambria Math" w:hAnsi="Cambria Math"/>
          </w:rPr>
          <m:t>=12</m:t>
        </m:r>
      </m:oMath>
      <w:r>
        <w:t>) employed experimental and/or longitudinal, rather than cross-sectional, designs. All but one of the quantitative studies (</w:t>
      </w:r>
      <m:oMath>
        <m:r>
          <w:rPr>
            <w:rFonts w:ascii="Cambria Math" w:hAnsi="Cambria Math"/>
          </w:rPr>
          <m:t>93%</m:t>
        </m:r>
      </m:oMath>
      <w:r>
        <w:t>) used self-report survey meas</w:t>
      </w:r>
      <w:r>
        <w:t>ures as the primary datasource. Four of the six qualitatively-based studies used group interviews as the primary data collection method, one administered and analyzed responses to a qualitative self-report survey, and one employed a multi-method qualitativ</w:t>
      </w:r>
      <w:r>
        <w:t>e approach. The methods represented among studies following mixed-methodological designs include experimental and longitudinal mixed-methods, focus groups, and qualitative and quantitative self-report measures.</w:t>
      </w:r>
    </w:p>
    <w:p w14:paraId="2F8444DB" w14:textId="77777777" w:rsidR="000A396A" w:rsidRDefault="000B545A">
      <w:pPr>
        <w:pStyle w:val="Heading2"/>
      </w:pPr>
      <w:bookmarkStart w:id="16" w:name="populations-includedsampling-frames"/>
      <w:bookmarkEnd w:id="16"/>
      <w:r>
        <w:t>Populations Included/Sampling Frames</w:t>
      </w:r>
    </w:p>
    <w:p w14:paraId="00525117" w14:textId="77777777" w:rsidR="000A396A" w:rsidRDefault="000B545A">
      <w:pPr>
        <w:pStyle w:val="Heading2"/>
      </w:pPr>
      <w:bookmarkStart w:id="17" w:name="explicitly-excluded-populations"/>
      <w:bookmarkEnd w:id="17"/>
      <w:r>
        <w:rPr>
          <w:rStyle w:val="VerbatimChar"/>
        </w:rPr>
        <w:t>Explicit</w:t>
      </w:r>
      <w:r>
        <w:rPr>
          <w:rStyle w:val="VerbatimChar"/>
        </w:rPr>
        <w:t>ly</w:t>
      </w:r>
      <w:r>
        <w:t xml:space="preserve"> Excluded Populations</w:t>
      </w:r>
    </w:p>
    <w:p w14:paraId="70FD966D" w14:textId="77777777" w:rsidR="000A396A" w:rsidRDefault="000B545A">
      <w:pPr>
        <w:pStyle w:val="Heading2"/>
      </w:pPr>
      <w:bookmarkStart w:id="18" w:name="a.-strengths"/>
      <w:bookmarkEnd w:id="18"/>
      <w:r>
        <w:rPr>
          <w:i/>
        </w:rPr>
        <w:t>A. Strengths</w:t>
      </w:r>
    </w:p>
    <w:p w14:paraId="4B80C0D8" w14:textId="77777777" w:rsidR="000A396A" w:rsidRDefault="000B545A">
      <w:pPr>
        <w:pStyle w:val="Heading2"/>
      </w:pPr>
      <w:bookmarkStart w:id="19" w:name="b.-limitations"/>
      <w:bookmarkEnd w:id="19"/>
      <w:r>
        <w:rPr>
          <w:i/>
        </w:rPr>
        <w:t>B. Limitations</w:t>
      </w:r>
    </w:p>
    <w:p w14:paraId="25730041" w14:textId="77777777" w:rsidR="000A396A" w:rsidRDefault="000B545A">
      <w:pPr>
        <w:pStyle w:val="Heading1"/>
      </w:pPr>
      <w:bookmarkStart w:id="20" w:name="conclusions"/>
      <w:bookmarkEnd w:id="20"/>
      <w:r>
        <w:lastRenderedPageBreak/>
        <w:t>Conclusions</w:t>
      </w:r>
    </w:p>
    <w:p w14:paraId="47DD72AA" w14:textId="77777777" w:rsidR="000A396A" w:rsidRDefault="000B545A">
      <w:pPr>
        <w:pStyle w:val="Heading1"/>
      </w:pPr>
      <w:bookmarkStart w:id="21" w:name="references"/>
      <w:bookmarkEnd w:id="21"/>
      <w:r>
        <w:lastRenderedPageBreak/>
        <w:t>References</w:t>
      </w:r>
    </w:p>
    <w:p w14:paraId="1584AE50" w14:textId="77777777" w:rsidR="000A396A" w:rsidRDefault="000B545A">
      <w:pPr>
        <w:pStyle w:val="Bibliography"/>
      </w:pPr>
      <w:r>
        <w:t xml:space="preserve">Anderies, J., Janssen, M., &amp; Ostrom, E. (2004). A framework to analyze the robustness of social-ecological systems from an institutional perspective. </w:t>
      </w:r>
      <w:r>
        <w:rPr>
          <w:i/>
        </w:rPr>
        <w:t>Ecology and Society</w:t>
      </w:r>
      <w:r>
        <w:t xml:space="preserve">, </w:t>
      </w:r>
      <w:r>
        <w:rPr>
          <w:i/>
        </w:rPr>
        <w:t>9</w:t>
      </w:r>
      <w:r>
        <w:t>, 18.</w:t>
      </w:r>
    </w:p>
    <w:p w14:paraId="1E2002A4" w14:textId="77777777" w:rsidR="000A396A" w:rsidRDefault="000B545A">
      <w:pPr>
        <w:pStyle w:val="Bibliography"/>
      </w:pPr>
      <w:r>
        <w:t>And</w:t>
      </w:r>
      <w:r>
        <w:t xml:space="preserve">ers, D. (1966). Action research. In S. kemmis &amp; R. McTaggart (Eds.), </w:t>
      </w:r>
      <w:r>
        <w:rPr>
          <w:i/>
        </w:rPr>
        <w:t>The action research reader</w:t>
      </w:r>
      <w:r>
        <w:t xml:space="preserve"> (Third Edition, pp. 317–321). Victoria: Deakin University.</w:t>
      </w:r>
    </w:p>
    <w:p w14:paraId="4D11FD4F" w14:textId="77777777" w:rsidR="000A396A" w:rsidRDefault="000B545A">
      <w:pPr>
        <w:pStyle w:val="Bibliography"/>
      </w:pPr>
      <w:r>
        <w:t xml:space="preserve">Andrews, D., &amp; Bonta, J. (1995). </w:t>
      </w:r>
      <w:r>
        <w:rPr>
          <w:i/>
        </w:rPr>
        <w:t>Level of service inventory–Revised (lsi–R)</w:t>
      </w:r>
      <w:r>
        <w:t xml:space="preserve">. Toronto, Canada: Multi- </w:t>
      </w:r>
      <w:r>
        <w:t>Health Systems.</w:t>
      </w:r>
    </w:p>
    <w:p w14:paraId="462F8E39" w14:textId="77777777" w:rsidR="000A396A" w:rsidRDefault="000B545A">
      <w:pPr>
        <w:pStyle w:val="Bibliography"/>
      </w:pPr>
      <w:r>
        <w:t xml:space="preserve">Baral, S., Logie, C., Grosso, A., Wirtz, A., &amp; Beyrer, C. (2013). Modified social ecological model: A tool to guide the assessment of the risks and risk contexts of HIV epidemics. </w:t>
      </w:r>
      <w:r>
        <w:rPr>
          <w:i/>
        </w:rPr>
        <w:t>BMC Public Health</w:t>
      </w:r>
      <w:r>
        <w:t xml:space="preserve">, </w:t>
      </w:r>
      <w:r>
        <w:rPr>
          <w:i/>
        </w:rPr>
        <w:t>13</w:t>
      </w:r>
      <w:r>
        <w:t>, 482.</w:t>
      </w:r>
    </w:p>
    <w:p w14:paraId="29700856" w14:textId="77777777" w:rsidR="000A396A" w:rsidRDefault="000B545A">
      <w:pPr>
        <w:pStyle w:val="Bibliography"/>
      </w:pPr>
      <w:r>
        <w:t>Barner, J. R., &amp;</w:t>
      </w:r>
      <w:r>
        <w:t xml:space="preserve"> Carney, M. M. (2011). Interventions for intimate partner violence: A historical review. </w:t>
      </w:r>
      <w:r>
        <w:rPr>
          <w:i/>
        </w:rPr>
        <w:t>Journal of Family Violence</w:t>
      </w:r>
      <w:r>
        <w:t xml:space="preserve">, </w:t>
      </w:r>
      <w:r>
        <w:rPr>
          <w:i/>
        </w:rPr>
        <w:t>26</w:t>
      </w:r>
      <w:r>
        <w:t>, 235–244.</w:t>
      </w:r>
    </w:p>
    <w:p w14:paraId="49FC86BC" w14:textId="77777777" w:rsidR="000A396A" w:rsidRDefault="000B545A">
      <w:pPr>
        <w:pStyle w:val="Bibliography"/>
      </w:pPr>
      <w:r>
        <w:t xml:space="preserve">Beeker, C., Guenther-Grey, C., &amp; Raj, A. (1998). Community empowerment paradigm drift and the primary prevention of HIV/AIDS. </w:t>
      </w:r>
      <w:r>
        <w:rPr>
          <w:i/>
        </w:rPr>
        <w:t>Social Science and Medicine</w:t>
      </w:r>
      <w:r>
        <w:t xml:space="preserve">, </w:t>
      </w:r>
      <w:r>
        <w:rPr>
          <w:i/>
        </w:rPr>
        <w:t>46</w:t>
      </w:r>
      <w:r>
        <w:t>, 831–842.</w:t>
      </w:r>
    </w:p>
    <w:p w14:paraId="77C9BCAD" w14:textId="77777777" w:rsidR="000A396A" w:rsidRDefault="000B545A">
      <w:pPr>
        <w:pStyle w:val="Bibliography"/>
      </w:pPr>
      <w:r>
        <w:t xml:space="preserve">Brydon-Miller, M., Greenwood, D., &amp; Maguire, P. (2003). Why action research? </w:t>
      </w:r>
      <w:r>
        <w:rPr>
          <w:i/>
        </w:rPr>
        <w:t>Action Research</w:t>
      </w:r>
      <w:r>
        <w:t xml:space="preserve">, </w:t>
      </w:r>
      <w:r>
        <w:rPr>
          <w:i/>
        </w:rPr>
        <w:t>1</w:t>
      </w:r>
      <w:r>
        <w:t>, 9–28.</w:t>
      </w:r>
    </w:p>
    <w:p w14:paraId="115825A6" w14:textId="77777777" w:rsidR="000A396A" w:rsidRDefault="000B545A">
      <w:pPr>
        <w:pStyle w:val="Bibliography"/>
      </w:pPr>
      <w:r>
        <w:t>Centers for Disease Control and Prevention (CDC), &amp; others. (2015). The Social-Ecological Model: A framework fo</w:t>
      </w:r>
      <w:r>
        <w:t>r prevention.</w:t>
      </w:r>
    </w:p>
    <w:p w14:paraId="7DA8FAE3" w14:textId="77777777" w:rsidR="000A396A" w:rsidRDefault="000B545A">
      <w:pPr>
        <w:pStyle w:val="Bibliography"/>
      </w:pPr>
      <w:r>
        <w:t xml:space="preserve">Chandler, D., &amp; Torbert, B. (2003). Transforming inquiry and action interweaving 27 flavors of action research. </w:t>
      </w:r>
      <w:r>
        <w:rPr>
          <w:i/>
        </w:rPr>
        <w:t>Action Research</w:t>
      </w:r>
      <w:r>
        <w:t xml:space="preserve">, </w:t>
      </w:r>
      <w:r>
        <w:rPr>
          <w:i/>
        </w:rPr>
        <w:t>1</w:t>
      </w:r>
      <w:r>
        <w:t>, 133–152.</w:t>
      </w:r>
    </w:p>
    <w:p w14:paraId="56ADCF66" w14:textId="77777777" w:rsidR="000A396A" w:rsidRDefault="000B545A">
      <w:pPr>
        <w:pStyle w:val="Bibliography"/>
      </w:pPr>
      <w:r>
        <w:t xml:space="preserve">Charmaz, K. (2006). </w:t>
      </w:r>
      <w:r>
        <w:rPr>
          <w:i/>
        </w:rPr>
        <w:t>Constructing grounded theory: A practical guide through qualitative analysis (int</w:t>
      </w:r>
      <w:r>
        <w:rPr>
          <w:i/>
        </w:rPr>
        <w:t>roducing qualitative methods series)</w:t>
      </w:r>
      <w:r>
        <w:t>. Thousand Oaks, CA: SAGE Publications, Inc.</w:t>
      </w:r>
    </w:p>
    <w:p w14:paraId="64FA5C7C" w14:textId="77777777" w:rsidR="000A396A" w:rsidRDefault="000B545A">
      <w:pPr>
        <w:pStyle w:val="Bibliography"/>
      </w:pPr>
      <w:r>
        <w:lastRenderedPageBreak/>
        <w:t xml:space="preserve">Cobb, S. (1993). Empowerment and mediation: A narrative perspective. </w:t>
      </w:r>
      <w:r>
        <w:rPr>
          <w:i/>
        </w:rPr>
        <w:t>Negotiation Journal</w:t>
      </w:r>
      <w:r>
        <w:t xml:space="preserve">, </w:t>
      </w:r>
      <w:r>
        <w:rPr>
          <w:i/>
        </w:rPr>
        <w:t>9</w:t>
      </w:r>
      <w:r>
        <w:t>, 245–259.</w:t>
      </w:r>
    </w:p>
    <w:p w14:paraId="73BAF87B" w14:textId="77777777" w:rsidR="000A396A" w:rsidRDefault="000B545A">
      <w:pPr>
        <w:pStyle w:val="Bibliography"/>
      </w:pPr>
      <w:r>
        <w:t xml:space="preserve">Collins, P. H. (2002). </w:t>
      </w:r>
      <w:r>
        <w:rPr>
          <w:i/>
        </w:rPr>
        <w:t xml:space="preserve">Black feminist thought: Knowledge, consciousness, </w:t>
      </w:r>
      <w:r>
        <w:rPr>
          <w:i/>
        </w:rPr>
        <w:t>and the politics of empowerment</w:t>
      </w:r>
      <w:r>
        <w:t>. New York, NY, US: Routledge.</w:t>
      </w:r>
    </w:p>
    <w:p w14:paraId="66DB750D" w14:textId="77777777" w:rsidR="000A396A" w:rsidRDefault="000B545A">
      <w:pPr>
        <w:pStyle w:val="Bibliography"/>
      </w:pPr>
      <w:r>
        <w:t xml:space="preserve">Contrino, K. M., Dermen, K. H., Nochajski, T. H., Wieczorek, W. F., &amp; Navratil, P. K. (2007). Compliance and learning in an intervention program for partner-violent men. </w:t>
      </w:r>
      <w:r>
        <w:rPr>
          <w:i/>
        </w:rPr>
        <w:t>Journal of Interpersonal</w:t>
      </w:r>
      <w:r>
        <w:rPr>
          <w:i/>
        </w:rPr>
        <w:t xml:space="preserve"> Violence</w:t>
      </w:r>
      <w:r>
        <w:t xml:space="preserve">, </w:t>
      </w:r>
      <w:r>
        <w:rPr>
          <w:i/>
        </w:rPr>
        <w:t>22</w:t>
      </w:r>
      <w:r>
        <w:t>, 1555–1566.</w:t>
      </w:r>
    </w:p>
    <w:p w14:paraId="0C2662FF" w14:textId="77777777" w:rsidR="000A396A" w:rsidRDefault="000B545A">
      <w:pPr>
        <w:pStyle w:val="Bibliography"/>
      </w:pPr>
      <w:r>
        <w:t xml:space="preserve">Corbin, J., &amp; Strauss, A. (1990). Basics of qualitative research: Grounded theory procedures and techniques. </w:t>
      </w:r>
      <w:r>
        <w:rPr>
          <w:i/>
        </w:rPr>
        <w:t>Basics of Qualitative Research: Grounded Theory Procedures and Techniques</w:t>
      </w:r>
      <w:r>
        <w:t xml:space="preserve">, </w:t>
      </w:r>
      <w:r>
        <w:rPr>
          <w:i/>
        </w:rPr>
        <w:t>41</w:t>
      </w:r>
      <w:r>
        <w:t>.</w:t>
      </w:r>
    </w:p>
    <w:p w14:paraId="37B079FF" w14:textId="77777777" w:rsidR="000A396A" w:rsidRDefault="000B545A">
      <w:pPr>
        <w:pStyle w:val="Bibliography"/>
      </w:pPr>
      <w:r>
        <w:t xml:space="preserve">Creswell, J. W. (2013). </w:t>
      </w:r>
      <w:r>
        <w:rPr>
          <w:i/>
        </w:rPr>
        <w:t>Research design: Q</w:t>
      </w:r>
      <w:r>
        <w:rPr>
          <w:i/>
        </w:rPr>
        <w:t>ualitative, quantitative, and mixed methods approaches</w:t>
      </w:r>
      <w:r>
        <w:t>. Thousand Oaks, CA: SAGE Publications, Inc.</w:t>
      </w:r>
    </w:p>
    <w:p w14:paraId="08450FAB" w14:textId="77777777" w:rsidR="000A396A" w:rsidRDefault="000B545A">
      <w:pPr>
        <w:pStyle w:val="Bibliography"/>
      </w:pPr>
      <w:r>
        <w:t xml:space="preserve">Dutton, D. G., &amp; Corvo, K. (2007). The duluth model: A data-impervious paradigm and a failed strategy. </w:t>
      </w:r>
      <w:r>
        <w:rPr>
          <w:i/>
        </w:rPr>
        <w:t>Aggression and Violent Behavior</w:t>
      </w:r>
      <w:r>
        <w:t xml:space="preserve">, </w:t>
      </w:r>
      <w:r>
        <w:rPr>
          <w:i/>
        </w:rPr>
        <w:t>12</w:t>
      </w:r>
      <w:r>
        <w:t>, 658–667.</w:t>
      </w:r>
    </w:p>
    <w:p w14:paraId="5C76D967" w14:textId="77777777" w:rsidR="000A396A" w:rsidRDefault="000B545A">
      <w:pPr>
        <w:pStyle w:val="Bibliography"/>
      </w:pPr>
      <w:r>
        <w:t xml:space="preserve">Feder, L., &amp; Wilson, D. B. (2005). A meta-analytic review of court-mandated batterer intervention programs: Can courts affect abusers’ behavior? </w:t>
      </w:r>
      <w:r>
        <w:rPr>
          <w:i/>
        </w:rPr>
        <w:t>Journal of Experimental Criminology</w:t>
      </w:r>
      <w:r>
        <w:t xml:space="preserve">, </w:t>
      </w:r>
      <w:r>
        <w:rPr>
          <w:i/>
        </w:rPr>
        <w:t>1</w:t>
      </w:r>
      <w:r>
        <w:t>, 239–262.</w:t>
      </w:r>
    </w:p>
    <w:p w14:paraId="567F2CCB" w14:textId="77777777" w:rsidR="000A396A" w:rsidRDefault="000B545A">
      <w:pPr>
        <w:pStyle w:val="Bibliography"/>
      </w:pPr>
      <w:r>
        <w:t>Fine, M., Torre, M. E., Boudin, K., Bowen, I., Clark, J., Hylt</w:t>
      </w:r>
      <w:r>
        <w:t xml:space="preserve">on, D., … Rosemarie, A. (2004). Participatory action research: From within and beyond prison bars. </w:t>
      </w:r>
      <w:r>
        <w:rPr>
          <w:i/>
        </w:rPr>
        <w:t>Working Method: Research and Social Justice</w:t>
      </w:r>
      <w:r>
        <w:t>, 95–119.</w:t>
      </w:r>
    </w:p>
    <w:p w14:paraId="67E6428F" w14:textId="77777777" w:rsidR="000A396A" w:rsidRDefault="000B545A">
      <w:pPr>
        <w:pStyle w:val="Bibliography"/>
      </w:pPr>
      <w:r>
        <w:t>Friedman-Nimz, R., Altman, J., Cain, S., Korn, S., Karger, M. J., Witsch, M., … Weiss, M. (2006). Blendi</w:t>
      </w:r>
      <w:r>
        <w:t xml:space="preserve">ng support and social action: The power of a gay-straight alliance and PrideWorks conference. </w:t>
      </w:r>
      <w:r>
        <w:rPr>
          <w:i/>
        </w:rPr>
        <w:t>Prufrock Journal</w:t>
      </w:r>
      <w:r>
        <w:t xml:space="preserve">, </w:t>
      </w:r>
      <w:r>
        <w:rPr>
          <w:i/>
        </w:rPr>
        <w:t>17</w:t>
      </w:r>
      <w:r>
        <w:t>, 258–264.</w:t>
      </w:r>
    </w:p>
    <w:p w14:paraId="0794477D" w14:textId="77777777" w:rsidR="000A396A" w:rsidRDefault="000B545A">
      <w:pPr>
        <w:pStyle w:val="Bibliography"/>
      </w:pPr>
      <w:r>
        <w:lastRenderedPageBreak/>
        <w:t xml:space="preserve">Fryer, D. (2008). Some questions about “the history of community psychology”. </w:t>
      </w:r>
      <w:r>
        <w:rPr>
          <w:i/>
        </w:rPr>
        <w:t>Journal of Community Psychology</w:t>
      </w:r>
      <w:r>
        <w:t xml:space="preserve">, </w:t>
      </w:r>
      <w:r>
        <w:rPr>
          <w:i/>
        </w:rPr>
        <w:t>36</w:t>
      </w:r>
      <w:r>
        <w:t>, 572–586.</w:t>
      </w:r>
    </w:p>
    <w:p w14:paraId="5E872A39" w14:textId="77777777" w:rsidR="000A396A" w:rsidRDefault="000B545A">
      <w:pPr>
        <w:pStyle w:val="Bibliography"/>
      </w:pPr>
      <w:r>
        <w:t>Gondolf</w:t>
      </w:r>
      <w:r>
        <w:t xml:space="preserve">, E. W. (1999). A comparison of four batterer intervention systems do court referral, program length, and services matter? </w:t>
      </w:r>
      <w:r>
        <w:rPr>
          <w:i/>
        </w:rPr>
        <w:t>Journal of Interpersonal Violence</w:t>
      </w:r>
      <w:r>
        <w:t xml:space="preserve">, </w:t>
      </w:r>
      <w:r>
        <w:rPr>
          <w:i/>
        </w:rPr>
        <w:t>14</w:t>
      </w:r>
      <w:r>
        <w:t>, 41–61.</w:t>
      </w:r>
    </w:p>
    <w:p w14:paraId="026BC62B" w14:textId="77777777" w:rsidR="000A396A" w:rsidRDefault="000B545A">
      <w:pPr>
        <w:pStyle w:val="Bibliography"/>
      </w:pPr>
      <w:r>
        <w:t>Gondolf, E. W. (2007). Theoretical and research support for the duluth model: A reply t</w:t>
      </w:r>
      <w:r>
        <w:t xml:space="preserve">o dutton and corvo. </w:t>
      </w:r>
      <w:r>
        <w:rPr>
          <w:i/>
        </w:rPr>
        <w:t>Aggression and Violent Behavior</w:t>
      </w:r>
      <w:r>
        <w:t xml:space="preserve">, </w:t>
      </w:r>
      <w:r>
        <w:rPr>
          <w:i/>
        </w:rPr>
        <w:t>12</w:t>
      </w:r>
      <w:r>
        <w:t>, 644–657.</w:t>
      </w:r>
    </w:p>
    <w:p w14:paraId="7B9E23F4" w14:textId="77777777" w:rsidR="000A396A" w:rsidRDefault="000B545A">
      <w:pPr>
        <w:pStyle w:val="Bibliography"/>
      </w:pPr>
      <w:r>
        <w:t xml:space="preserve">Gondolf, E. W., &amp; Wernik, H. (2009). Clinician ratings of batterer treatment behaviors in predicting reassault. </w:t>
      </w:r>
      <w:r>
        <w:rPr>
          <w:i/>
        </w:rPr>
        <w:t>Journal of Interpersonal Violence</w:t>
      </w:r>
      <w:r>
        <w:t xml:space="preserve">, </w:t>
      </w:r>
      <w:r>
        <w:rPr>
          <w:i/>
        </w:rPr>
        <w:t>24</w:t>
      </w:r>
      <w:r>
        <w:t>, 1792–1815.</w:t>
      </w:r>
    </w:p>
    <w:p w14:paraId="7CD63AA8" w14:textId="77777777" w:rsidR="000A396A" w:rsidRDefault="000B545A">
      <w:pPr>
        <w:pStyle w:val="Bibliography"/>
      </w:pPr>
      <w:r>
        <w:t>Greene, J., Caracelli, V., &amp;</w:t>
      </w:r>
      <w:r>
        <w:t xml:space="preserve"> Graham, W. F. (1989). Toward a conceptual framework for mixed-method evaluation designs. </w:t>
      </w:r>
      <w:r>
        <w:rPr>
          <w:i/>
        </w:rPr>
        <w:t>Educational Evaluation and Policy Analysis</w:t>
      </w:r>
      <w:r>
        <w:t xml:space="preserve">, </w:t>
      </w:r>
      <w:r>
        <w:rPr>
          <w:i/>
        </w:rPr>
        <w:t>11</w:t>
      </w:r>
      <w:r>
        <w:t>, 255–274.</w:t>
      </w:r>
    </w:p>
    <w:p w14:paraId="419528E8" w14:textId="77777777" w:rsidR="000A396A" w:rsidRDefault="000B545A">
      <w:pPr>
        <w:pStyle w:val="Bibliography"/>
      </w:pPr>
      <w:r>
        <w:t>Gregory, C., &amp; Erez, E. (2002). The effects of batterer intervention programs the battered women’s perspectiv</w:t>
      </w:r>
      <w:r>
        <w:t xml:space="preserve">es. </w:t>
      </w:r>
      <w:r>
        <w:rPr>
          <w:i/>
        </w:rPr>
        <w:t>Violence Against Women</w:t>
      </w:r>
      <w:r>
        <w:t xml:space="preserve">, </w:t>
      </w:r>
      <w:r>
        <w:rPr>
          <w:i/>
        </w:rPr>
        <w:t>8</w:t>
      </w:r>
      <w:r>
        <w:t>, 206–232.</w:t>
      </w:r>
    </w:p>
    <w:p w14:paraId="124F1916" w14:textId="77777777" w:rsidR="000A396A" w:rsidRDefault="000B545A">
      <w:pPr>
        <w:pStyle w:val="Bibliography"/>
      </w:pPr>
      <w:r>
        <w:t>Hart, B. J. (1995, march). Coordinated community approaches to domestic violence. Paper Presented at the Strategic Planning Workshop on Violence Against Women, Washington, DC: National Institute of Justice. Retrieved</w:t>
      </w:r>
      <w:r>
        <w:t xml:space="preserve"> from </w:t>
      </w:r>
      <w:hyperlink r:id="rId12">
        <w:r>
          <w:rPr>
            <w:rStyle w:val="Hyperlink"/>
          </w:rPr>
          <w:t>http://www.ncdsv.org/images/Coordinated%20Community%20Approaches%20to%20DV.pdf</w:t>
        </w:r>
      </w:hyperlink>
    </w:p>
    <w:p w14:paraId="7F821B6F" w14:textId="77777777" w:rsidR="000A396A" w:rsidRDefault="000B545A">
      <w:pPr>
        <w:pStyle w:val="Bibliography"/>
      </w:pPr>
      <w:r>
        <w:t>Heckert, A., &amp; Gondolf, E. W. (2004). Battered women’s perceptions of ris</w:t>
      </w:r>
      <w:r>
        <w:t xml:space="preserve">k versus risk factors and instruments in predicting repeat reassault. </w:t>
      </w:r>
      <w:r>
        <w:rPr>
          <w:i/>
        </w:rPr>
        <w:t>Journal of Interpersonal Violence</w:t>
      </w:r>
      <w:r>
        <w:t xml:space="preserve">, </w:t>
      </w:r>
      <w:r>
        <w:rPr>
          <w:i/>
        </w:rPr>
        <w:t>19</w:t>
      </w:r>
      <w:r>
        <w:t>, 778–800.</w:t>
      </w:r>
    </w:p>
    <w:p w14:paraId="3D63653D" w14:textId="77777777" w:rsidR="000A396A" w:rsidRDefault="000B545A">
      <w:pPr>
        <w:pStyle w:val="Bibliography"/>
      </w:pPr>
      <w:r>
        <w:t xml:space="preserve">Hendricks, B., Werner, T., Shipway, L., &amp; Turinetti, G. J. (2006). Recidivism among spousal abusers: Predictions and program evaluation. </w:t>
      </w:r>
      <w:r>
        <w:rPr>
          <w:i/>
        </w:rPr>
        <w:t>J</w:t>
      </w:r>
      <w:r>
        <w:rPr>
          <w:i/>
        </w:rPr>
        <w:t>ournal of Interpersonal Violence</w:t>
      </w:r>
      <w:r>
        <w:t xml:space="preserve">, </w:t>
      </w:r>
      <w:r>
        <w:rPr>
          <w:i/>
        </w:rPr>
        <w:t>21</w:t>
      </w:r>
      <w:r>
        <w:t>, 703–716.</w:t>
      </w:r>
    </w:p>
    <w:p w14:paraId="292FAF00" w14:textId="77777777" w:rsidR="000A396A" w:rsidRDefault="000B545A">
      <w:pPr>
        <w:pStyle w:val="Bibliography"/>
      </w:pPr>
      <w:r>
        <w:lastRenderedPageBreak/>
        <w:t xml:space="preserve">Huang, R. (2014). </w:t>
      </w:r>
      <w:r>
        <w:rPr>
          <w:i/>
        </w:rPr>
        <w:t>RQDA: R-based qualitative data analysis</w:t>
      </w:r>
      <w:r>
        <w:t xml:space="preserve">. Retrieved from </w:t>
      </w:r>
      <w:hyperlink r:id="rId13">
        <w:r>
          <w:rPr>
            <w:rStyle w:val="Hyperlink"/>
          </w:rPr>
          <w:t>http://rqda.r-forge.r-project.org/</w:t>
        </w:r>
      </w:hyperlink>
    </w:p>
    <w:p w14:paraId="255964AC" w14:textId="77777777" w:rsidR="000A396A" w:rsidRDefault="000B545A">
      <w:pPr>
        <w:pStyle w:val="Bibliography"/>
      </w:pPr>
      <w:r>
        <w:t>Ingram, D., &amp; Franco, S. (2012). NCHS urban-ru</w:t>
      </w:r>
      <w:r>
        <w:t xml:space="preserve">ral classification scheme for counties. In </w:t>
      </w:r>
      <w:r>
        <w:rPr>
          <w:i/>
        </w:rPr>
        <w:t>Vital and health statistics</w:t>
      </w:r>
      <w:r>
        <w:t xml:space="preserve"> (Vol. 2). Hyattsville, Maryland: National Center for Health Statistics, Centers for Disease Control; Prevention.</w:t>
      </w:r>
    </w:p>
    <w:p w14:paraId="7177F3DF" w14:textId="77777777" w:rsidR="000A396A" w:rsidRDefault="000B545A">
      <w:pPr>
        <w:pStyle w:val="Bibliography"/>
      </w:pPr>
      <w:r>
        <w:t>Johnson, B., Onwuegbuzie, A., &amp; Turner, L. A. (2007). Toward a definitio</w:t>
      </w:r>
      <w:r>
        <w:t xml:space="preserve">n of mixed methods research. </w:t>
      </w:r>
      <w:r>
        <w:rPr>
          <w:i/>
        </w:rPr>
        <w:t>Journal of Mixed Methods Research</w:t>
      </w:r>
      <w:r>
        <w:t xml:space="preserve">, </w:t>
      </w:r>
      <w:r>
        <w:rPr>
          <w:i/>
        </w:rPr>
        <w:t>1</w:t>
      </w:r>
      <w:r>
        <w:t>, 112–133.</w:t>
      </w:r>
    </w:p>
    <w:p w14:paraId="21D3A69A" w14:textId="77777777" w:rsidR="000A396A" w:rsidRDefault="000B545A">
      <w:pPr>
        <w:pStyle w:val="Bibliography"/>
      </w:pPr>
      <w:r>
        <w:t xml:space="preserve">Kelly, J., Azelton, S., Lardon, C., Mock, L., Tandon, D., &amp; Thomas, M. (2004). On community leadership: Stories about collaboration in action research. </w:t>
      </w:r>
      <w:r>
        <w:rPr>
          <w:i/>
        </w:rPr>
        <w:t>American Journal of Communit</w:t>
      </w:r>
      <w:r>
        <w:rPr>
          <w:i/>
        </w:rPr>
        <w:t>y Psychology</w:t>
      </w:r>
      <w:r>
        <w:t xml:space="preserve">, </w:t>
      </w:r>
      <w:r>
        <w:rPr>
          <w:i/>
        </w:rPr>
        <w:t>33</w:t>
      </w:r>
      <w:r>
        <w:t>, 205–216.</w:t>
      </w:r>
    </w:p>
    <w:p w14:paraId="4FAB2DB2" w14:textId="77777777" w:rsidR="000A396A" w:rsidRDefault="000B545A">
      <w:pPr>
        <w:pStyle w:val="Bibliography"/>
      </w:pPr>
      <w:r>
        <w:t xml:space="preserve">Kidder, L., &amp; Fine, M. (1987). Qualitative and quantitative methods: When stories converge. </w:t>
      </w:r>
      <w:r>
        <w:rPr>
          <w:i/>
        </w:rPr>
        <w:t>New Directions for Program Evaluation</w:t>
      </w:r>
      <w:r>
        <w:t xml:space="preserve">, </w:t>
      </w:r>
      <w:r>
        <w:rPr>
          <w:i/>
        </w:rPr>
        <w:t>1987</w:t>
      </w:r>
      <w:r>
        <w:t>, 57–75.</w:t>
      </w:r>
    </w:p>
    <w:p w14:paraId="7504F800" w14:textId="77777777" w:rsidR="000A396A" w:rsidRDefault="000B545A">
      <w:pPr>
        <w:pStyle w:val="Bibliography"/>
      </w:pPr>
      <w:r>
        <w:t>Kloos, B., &amp; Shah, S. (2009). A social ecological approach to investigating relations</w:t>
      </w:r>
      <w:r>
        <w:t xml:space="preserve">hips between housing and adaptive functioning for persons with serious mental illness. </w:t>
      </w:r>
      <w:r>
        <w:rPr>
          <w:i/>
        </w:rPr>
        <w:t>American Journal of Community Psychology</w:t>
      </w:r>
      <w:r>
        <w:t xml:space="preserve">, </w:t>
      </w:r>
      <w:r>
        <w:rPr>
          <w:i/>
        </w:rPr>
        <w:t>44</w:t>
      </w:r>
      <w:r>
        <w:t>, 316–326.</w:t>
      </w:r>
    </w:p>
    <w:p w14:paraId="5AAB1F3F" w14:textId="77777777" w:rsidR="000A396A" w:rsidRDefault="000B545A">
      <w:pPr>
        <w:pStyle w:val="Bibliography"/>
      </w:pPr>
      <w:r>
        <w:t>Leech, N. L., &amp; Onwuegbuzie, A. J. (2007). An array of qualitative data analysis tools: A call for data analysis t</w:t>
      </w:r>
      <w:r>
        <w:t xml:space="preserve">riangulation. </w:t>
      </w:r>
      <w:r>
        <w:rPr>
          <w:i/>
        </w:rPr>
        <w:t>School Psychology Quarterly</w:t>
      </w:r>
      <w:r>
        <w:t xml:space="preserve">, </w:t>
      </w:r>
      <w:r>
        <w:rPr>
          <w:i/>
        </w:rPr>
        <w:t>22</w:t>
      </w:r>
      <w:r>
        <w:t>, 557.</w:t>
      </w:r>
    </w:p>
    <w:p w14:paraId="71DA887A" w14:textId="77777777" w:rsidR="000A396A" w:rsidRDefault="000B545A">
      <w:pPr>
        <w:pStyle w:val="Bibliography"/>
      </w:pPr>
      <w:r>
        <w:t xml:space="preserve">LeGates, M. (2001). </w:t>
      </w:r>
      <w:r>
        <w:rPr>
          <w:i/>
        </w:rPr>
        <w:t>In their time: A history of feminism in western society</w:t>
      </w:r>
      <w:r>
        <w:t>. New York, NY: Routledge.</w:t>
      </w:r>
    </w:p>
    <w:p w14:paraId="67B2B34B" w14:textId="77777777" w:rsidR="000A396A" w:rsidRDefault="000B545A">
      <w:pPr>
        <w:pStyle w:val="Bibliography"/>
      </w:pPr>
      <w:r>
        <w:t xml:space="preserve">Mertens, D., &amp; Wilson, A. T. (2012). </w:t>
      </w:r>
      <w:r>
        <w:rPr>
          <w:i/>
        </w:rPr>
        <w:t>Program evaluation theory and practice: A comprehensive guide</w:t>
      </w:r>
      <w:r>
        <w:t>. Gu</w:t>
      </w:r>
      <w:r>
        <w:t>ilford Press.</w:t>
      </w:r>
    </w:p>
    <w:p w14:paraId="4D953191" w14:textId="77777777" w:rsidR="000A396A" w:rsidRDefault="000B545A">
      <w:pPr>
        <w:pStyle w:val="Bibliography"/>
      </w:pPr>
      <w:r>
        <w:t xml:space="preserve">Meyer, I. H. (1995). Minority stress and mental health in gay men. </w:t>
      </w:r>
      <w:r>
        <w:rPr>
          <w:i/>
        </w:rPr>
        <w:t>Journal of Health and Social Behavior</w:t>
      </w:r>
      <w:r>
        <w:t>, 38–56.</w:t>
      </w:r>
    </w:p>
    <w:p w14:paraId="6F9B6209" w14:textId="77777777" w:rsidR="000A396A" w:rsidRDefault="000B545A">
      <w:pPr>
        <w:pStyle w:val="Bibliography"/>
      </w:pPr>
      <w:r>
        <w:lastRenderedPageBreak/>
        <w:t>Meyer, I. H. (2003). Prejudice, social stress, and mental health in lesbian, gay, and bisexual populations: Conceptual issues and</w:t>
      </w:r>
      <w:r>
        <w:t xml:space="preserve"> research evidence. </w:t>
      </w:r>
      <w:r>
        <w:rPr>
          <w:i/>
        </w:rPr>
        <w:t>Psychological Bulletin</w:t>
      </w:r>
      <w:r>
        <w:t xml:space="preserve">, </w:t>
      </w:r>
      <w:r>
        <w:rPr>
          <w:i/>
        </w:rPr>
        <w:t>129</w:t>
      </w:r>
      <w:r>
        <w:t>, 674.</w:t>
      </w:r>
    </w:p>
    <w:p w14:paraId="370CF5B8" w14:textId="77777777" w:rsidR="000A396A" w:rsidRDefault="000B545A">
      <w:pPr>
        <w:pStyle w:val="Bibliography"/>
      </w:pPr>
      <w:r>
        <w:t xml:space="preserve">Meyer, I. H. (2010). The right comparisons in testing the minority stress hypothesis: Comment on savin-williams, cohen, joyner, and rieger (2010). </w:t>
      </w:r>
      <w:r>
        <w:rPr>
          <w:i/>
        </w:rPr>
        <w:t>Archives of Sexual Behavior</w:t>
      </w:r>
      <w:r>
        <w:t xml:space="preserve">, </w:t>
      </w:r>
      <w:r>
        <w:rPr>
          <w:i/>
        </w:rPr>
        <w:t>39</w:t>
      </w:r>
      <w:r>
        <w:t>, 1217–1219.</w:t>
      </w:r>
    </w:p>
    <w:p w14:paraId="073B76D4" w14:textId="77777777" w:rsidR="000A396A" w:rsidRDefault="000B545A">
      <w:pPr>
        <w:pStyle w:val="Bibliography"/>
      </w:pPr>
      <w:r>
        <w:t xml:space="preserve">Meyer, I. H. (2015). Resilience in the study of minority stress and health of sexual and gender minorities. </w:t>
      </w:r>
      <w:r>
        <w:rPr>
          <w:i/>
        </w:rPr>
        <w:t>Psychology of Sexual Orientation and Gender Diversity</w:t>
      </w:r>
      <w:r>
        <w:t xml:space="preserve">, </w:t>
      </w:r>
      <w:r>
        <w:rPr>
          <w:i/>
        </w:rPr>
        <w:t>2</w:t>
      </w:r>
      <w:r>
        <w:t>, 209.</w:t>
      </w:r>
    </w:p>
    <w:p w14:paraId="0F4A5479" w14:textId="77777777" w:rsidR="000A396A" w:rsidRDefault="000B545A">
      <w:pPr>
        <w:pStyle w:val="Bibliography"/>
      </w:pPr>
      <w:r>
        <w:t xml:space="preserve">Morgan, D. (2014). </w:t>
      </w:r>
      <w:r>
        <w:rPr>
          <w:i/>
        </w:rPr>
        <w:t>Integrating qualitative and quantitative methods: A pragmatic appr</w:t>
      </w:r>
      <w:r>
        <w:rPr>
          <w:i/>
        </w:rPr>
        <w:t>oach</w:t>
      </w:r>
      <w:r>
        <w:t xml:space="preserve"> (Vol. 16). Thousand Oaks, CA: SAGE Publications, Inc.</w:t>
      </w:r>
    </w:p>
    <w:p w14:paraId="319754F0" w14:textId="77777777" w:rsidR="000A396A" w:rsidRDefault="000B545A">
      <w:pPr>
        <w:pStyle w:val="Bibliography"/>
      </w:pPr>
      <w:r>
        <w:t xml:space="preserve">Noffke, S. E. (1997). Professional, personal, and political dimensions of action research. </w:t>
      </w:r>
      <w:r>
        <w:rPr>
          <w:i/>
        </w:rPr>
        <w:t>Review of Research in Education</w:t>
      </w:r>
      <w:r>
        <w:t>, 305–343.</w:t>
      </w:r>
    </w:p>
    <w:p w14:paraId="15A250C2" w14:textId="77777777" w:rsidR="000A396A" w:rsidRDefault="000B545A">
      <w:pPr>
        <w:pStyle w:val="Bibliography"/>
      </w:pPr>
      <w:r>
        <w:t>Onwuegbuzie, A. J., &amp; Weinbaum, R. K. (2017). A framework for us</w:t>
      </w:r>
      <w:r>
        <w:t xml:space="preserve">ing qualitative comparative analysis for the review of the literature. </w:t>
      </w:r>
      <w:r>
        <w:rPr>
          <w:i/>
        </w:rPr>
        <w:t>The Qualitative Report</w:t>
      </w:r>
      <w:r>
        <w:t xml:space="preserve">, </w:t>
      </w:r>
      <w:r>
        <w:rPr>
          <w:i/>
        </w:rPr>
        <w:t>22</w:t>
      </w:r>
      <w:r>
        <w:t>, 359–372.</w:t>
      </w:r>
    </w:p>
    <w:p w14:paraId="0F00E697" w14:textId="77777777" w:rsidR="000A396A" w:rsidRDefault="000B545A">
      <w:pPr>
        <w:pStyle w:val="Bibliography"/>
      </w:pPr>
      <w:r>
        <w:t xml:space="preserve">Onwuegbuzie, A. J., Dickinson, W. B., Leech, N. L., &amp; Zoran, A. G. (2009). A qualitative framework for collecting and analyzing data in focus group </w:t>
      </w:r>
      <w:r>
        <w:t xml:space="preserve">research. </w:t>
      </w:r>
      <w:r>
        <w:rPr>
          <w:i/>
        </w:rPr>
        <w:t>International Journal of Qualitative Methods</w:t>
      </w:r>
      <w:r>
        <w:t xml:space="preserve">, </w:t>
      </w:r>
      <w:r>
        <w:rPr>
          <w:i/>
        </w:rPr>
        <w:t>8</w:t>
      </w:r>
      <w:r>
        <w:t>, 1–21.</w:t>
      </w:r>
    </w:p>
    <w:p w14:paraId="309AE69A" w14:textId="77777777" w:rsidR="000A396A" w:rsidRDefault="000B545A">
      <w:pPr>
        <w:pStyle w:val="Bibliography"/>
      </w:pPr>
      <w:r>
        <w:t xml:space="preserve">Owen, J., &amp; Rogers, P. (1999). </w:t>
      </w:r>
      <w:r>
        <w:rPr>
          <w:i/>
        </w:rPr>
        <w:t>Program evaluation: Forms and approaches</w:t>
      </w:r>
      <w:r>
        <w:t>. Thousand Oaks, CA: SAGE Publications, Inc.</w:t>
      </w:r>
    </w:p>
    <w:p w14:paraId="418D812E" w14:textId="77777777" w:rsidR="000A396A" w:rsidRDefault="000B545A">
      <w:pPr>
        <w:pStyle w:val="Bibliography"/>
      </w:pPr>
      <w:r>
        <w:t xml:space="preserve">Prilleltensky, I. (1997). Values, assumptions, and practices: Assessing the moral implications of psychological discourse and action. </w:t>
      </w:r>
      <w:r>
        <w:rPr>
          <w:i/>
        </w:rPr>
        <w:t>American Psychologist</w:t>
      </w:r>
      <w:r>
        <w:t xml:space="preserve">, </w:t>
      </w:r>
      <w:r>
        <w:rPr>
          <w:i/>
        </w:rPr>
        <w:t>52</w:t>
      </w:r>
      <w:r>
        <w:t>, 517.</w:t>
      </w:r>
    </w:p>
    <w:p w14:paraId="6CA19661" w14:textId="77777777" w:rsidR="000A396A" w:rsidRDefault="000B545A">
      <w:pPr>
        <w:pStyle w:val="Bibliography"/>
      </w:pPr>
      <w:r>
        <w:t>Prilleltensky, I. (2001). Value-based praxis in community psychology: Moving toward social</w:t>
      </w:r>
      <w:r>
        <w:t xml:space="preserve"> justice and social action. </w:t>
      </w:r>
      <w:r>
        <w:rPr>
          <w:i/>
        </w:rPr>
        <w:t>American Journal of Community Psychology</w:t>
      </w:r>
      <w:r>
        <w:t xml:space="preserve">, </w:t>
      </w:r>
      <w:r>
        <w:rPr>
          <w:i/>
        </w:rPr>
        <w:t>29</w:t>
      </w:r>
      <w:r>
        <w:t>, 747–778.</w:t>
      </w:r>
    </w:p>
    <w:p w14:paraId="0E12EAD2" w14:textId="77777777" w:rsidR="000A396A" w:rsidRDefault="000B545A">
      <w:pPr>
        <w:pStyle w:val="Bibliography"/>
      </w:pPr>
      <w:r>
        <w:lastRenderedPageBreak/>
        <w:t xml:space="preserve">R Core Team. (2016). </w:t>
      </w:r>
      <w:r>
        <w:rPr>
          <w:i/>
        </w:rPr>
        <w:t>R: A language and environment for statistical computing</w:t>
      </w:r>
      <w:r>
        <w:t xml:space="preserve">. Vienna, Austria: R Foundation for Statistical Computing. Retrieved from </w:t>
      </w:r>
      <w:hyperlink r:id="rId14">
        <w:r>
          <w:rPr>
            <w:rStyle w:val="Hyperlink"/>
          </w:rPr>
          <w:t>https://www.R-project.org/</w:t>
        </w:r>
      </w:hyperlink>
    </w:p>
    <w:p w14:paraId="06C73D34" w14:textId="77777777" w:rsidR="000A396A" w:rsidRDefault="000B545A">
      <w:pPr>
        <w:pStyle w:val="Bibliography"/>
      </w:pPr>
      <w:r>
        <w:t xml:space="preserve">Riger, S. (1993). What’s wrong with empowerment. </w:t>
      </w:r>
      <w:r>
        <w:rPr>
          <w:i/>
        </w:rPr>
        <w:t>American Journal of Community Psychology</w:t>
      </w:r>
      <w:r>
        <w:t xml:space="preserve">, </w:t>
      </w:r>
      <w:r>
        <w:rPr>
          <w:i/>
        </w:rPr>
        <w:t>21</w:t>
      </w:r>
      <w:r>
        <w:t>, 279–292.</w:t>
      </w:r>
    </w:p>
    <w:p w14:paraId="2483AF3C" w14:textId="77777777" w:rsidR="000A396A" w:rsidRDefault="000B545A">
      <w:pPr>
        <w:pStyle w:val="Bibliography"/>
      </w:pPr>
      <w:r>
        <w:t xml:space="preserve">Royse, D., Thyer, B., &amp; Padgett, D. (2009). </w:t>
      </w:r>
      <w:r>
        <w:rPr>
          <w:i/>
        </w:rPr>
        <w:t>Program evaluation: An introduction</w:t>
      </w:r>
      <w:r>
        <w:t>. Cengage Learning.</w:t>
      </w:r>
    </w:p>
    <w:p w14:paraId="6AE6653D" w14:textId="77777777" w:rsidR="000A396A" w:rsidRDefault="000B545A">
      <w:pPr>
        <w:pStyle w:val="Bibliography"/>
      </w:pPr>
      <w:r>
        <w:t>Sei</w:t>
      </w:r>
      <w:r>
        <w:t xml:space="preserve">dman, E. (2012). An emerging action science of social settings. </w:t>
      </w:r>
      <w:r>
        <w:rPr>
          <w:i/>
        </w:rPr>
        <w:t>American Journal of Community Psychology</w:t>
      </w:r>
      <w:r>
        <w:t xml:space="preserve">, </w:t>
      </w:r>
      <w:r>
        <w:rPr>
          <w:i/>
        </w:rPr>
        <w:t>50</w:t>
      </w:r>
      <w:r>
        <w:t>, 1–16.</w:t>
      </w:r>
    </w:p>
    <w:p w14:paraId="23C6CA33" w14:textId="77777777" w:rsidR="000A396A" w:rsidRDefault="000B545A">
      <w:pPr>
        <w:pStyle w:val="Bibliography"/>
      </w:pPr>
      <w:r>
        <w:t>Silvergleid, C. S., &amp; Mankowski, E. S. (2006). How batterer intervention programs work: Participant and facilitator accounts of processes of</w:t>
      </w:r>
      <w:r>
        <w:t xml:space="preserve"> change. </w:t>
      </w:r>
      <w:r>
        <w:rPr>
          <w:i/>
        </w:rPr>
        <w:t>Journal of Interpersonal Violence</w:t>
      </w:r>
      <w:r>
        <w:t xml:space="preserve">, </w:t>
      </w:r>
      <w:r>
        <w:rPr>
          <w:i/>
        </w:rPr>
        <w:t>21</w:t>
      </w:r>
      <w:r>
        <w:t>, 139–159.</w:t>
      </w:r>
    </w:p>
    <w:p w14:paraId="1C47D5E1" w14:textId="77777777" w:rsidR="000A396A" w:rsidRDefault="000B545A">
      <w:pPr>
        <w:pStyle w:val="Bibliography"/>
      </w:pPr>
      <w:r>
        <w:t xml:space="preserve">Speer, P., &amp; Hughey, J. (1995). Community organizing: An ecological route to empowerment and power. </w:t>
      </w:r>
      <w:r>
        <w:rPr>
          <w:i/>
        </w:rPr>
        <w:t>American Journal of Community Psychology</w:t>
      </w:r>
      <w:r>
        <w:t xml:space="preserve">, </w:t>
      </w:r>
      <w:r>
        <w:rPr>
          <w:i/>
        </w:rPr>
        <w:t>23</w:t>
      </w:r>
      <w:r>
        <w:t>, 729–748.</w:t>
      </w:r>
    </w:p>
    <w:p w14:paraId="0AE4D9EE" w14:textId="77777777" w:rsidR="000A396A" w:rsidRDefault="000B545A">
      <w:pPr>
        <w:pStyle w:val="Bibliography"/>
      </w:pPr>
      <w:r>
        <w:t>Stokols, D. (1996). Translating social ecolo</w:t>
      </w:r>
      <w:r>
        <w:t xml:space="preserve">gical theory into guidelines for community health promotion. </w:t>
      </w:r>
      <w:r>
        <w:rPr>
          <w:i/>
        </w:rPr>
        <w:t>American Journal of Health Promotion</w:t>
      </w:r>
      <w:r>
        <w:t xml:space="preserve">, </w:t>
      </w:r>
      <w:r>
        <w:rPr>
          <w:i/>
        </w:rPr>
        <w:t>10</w:t>
      </w:r>
      <w:r>
        <w:t>, 282–298.</w:t>
      </w:r>
    </w:p>
    <w:p w14:paraId="088933FD" w14:textId="77777777" w:rsidR="000A396A" w:rsidRDefault="000B545A">
      <w:pPr>
        <w:pStyle w:val="Bibliography"/>
      </w:pPr>
      <w:r>
        <w:t xml:space="preserve">Strauss, A., &amp; Corbin, J. (1994). Grounded theory methodology. </w:t>
      </w:r>
      <w:r>
        <w:rPr>
          <w:i/>
        </w:rPr>
        <w:t>Handbook of Qualitative Research</w:t>
      </w:r>
      <w:r>
        <w:t>, 273–285.</w:t>
      </w:r>
    </w:p>
    <w:p w14:paraId="129C310D" w14:textId="77777777" w:rsidR="000A396A" w:rsidRDefault="000B545A">
      <w:pPr>
        <w:pStyle w:val="Bibliography"/>
      </w:pPr>
      <w:r>
        <w:t>Tharp, A. T., DeGue, S., Valle, L. A.,</w:t>
      </w:r>
      <w:r>
        <w:t xml:space="preserve"> Brookmeyer, K., Massetti, G., &amp; Matjasko, J. L. (2013). A systematic qualitative review of risk and protective factors for sexual violence perpetration. </w:t>
      </w:r>
      <w:r>
        <w:rPr>
          <w:i/>
        </w:rPr>
        <w:t>Trauma, Violence, and Abuse</w:t>
      </w:r>
      <w:r>
        <w:t xml:space="preserve">, </w:t>
      </w:r>
      <w:r>
        <w:rPr>
          <w:i/>
        </w:rPr>
        <w:t>14</w:t>
      </w:r>
      <w:r>
        <w:t>, 133–167.</w:t>
      </w:r>
    </w:p>
    <w:p w14:paraId="0D1285C9" w14:textId="77777777" w:rsidR="000A396A" w:rsidRDefault="000B545A">
      <w:pPr>
        <w:pStyle w:val="Bibliography"/>
      </w:pPr>
      <w:r>
        <w:t xml:space="preserve">The Society for Community Research and Action (SCRA). (2017). Other journals relevant to community psychology. Retrieved from </w:t>
      </w:r>
      <w:hyperlink r:id="rId15">
        <w:r>
          <w:rPr>
            <w:rStyle w:val="Hyperlink"/>
          </w:rPr>
          <w:t>http://www.scra27.org/publicat</w:t>
        </w:r>
        <w:r>
          <w:rPr>
            <w:rStyle w:val="Hyperlink"/>
          </w:rPr>
          <w:t>ions/other-journals-relevant-community-psychology/</w:t>
        </w:r>
      </w:hyperlink>
    </w:p>
    <w:p w14:paraId="1AA31D21" w14:textId="77777777" w:rsidR="000A396A" w:rsidRDefault="000B545A">
      <w:pPr>
        <w:pStyle w:val="Bibliography"/>
      </w:pPr>
      <w:r>
        <w:lastRenderedPageBreak/>
        <w:t xml:space="preserve">Visser, M. (2007). The social ecological model as theoretical framework in community psychology. </w:t>
      </w:r>
      <w:r>
        <w:rPr>
          <w:i/>
        </w:rPr>
        <w:t>Community Psychology: Analysis, Context and Action</w:t>
      </w:r>
      <w:r>
        <w:t>, 102–116.</w:t>
      </w:r>
    </w:p>
    <w:p w14:paraId="7EA13BCC" w14:textId="77777777" w:rsidR="000A396A" w:rsidRDefault="000B545A">
      <w:pPr>
        <w:pStyle w:val="Bibliography"/>
      </w:pPr>
      <w:r>
        <w:t>Walker, B., Gunderson, L., Kinzig, A., Folke, C</w:t>
      </w:r>
      <w:r>
        <w:t xml:space="preserve">., Carpenter, S., &amp; Schultz, L. (2006). A handful of heuristics and some propositions for understanding resilience in social-ecological systems. </w:t>
      </w:r>
      <w:r>
        <w:rPr>
          <w:i/>
        </w:rPr>
        <w:t>Ecology and Society</w:t>
      </w:r>
      <w:r>
        <w:t xml:space="preserve">, </w:t>
      </w:r>
      <w:r>
        <w:rPr>
          <w:i/>
        </w:rPr>
        <w:t>11</w:t>
      </w:r>
      <w:r>
        <w:t>, 13.</w:t>
      </w:r>
    </w:p>
    <w:p w14:paraId="0A8005E3" w14:textId="77777777" w:rsidR="000A396A" w:rsidRDefault="000B545A">
      <w:pPr>
        <w:pStyle w:val="Bibliography"/>
      </w:pPr>
      <w:r>
        <w:t xml:space="preserve">Walton-Moss, B., Manganello, J., Frye, V., &amp; Campbell, J. C. (2005). Risk factors </w:t>
      </w:r>
      <w:r>
        <w:t xml:space="preserve">for intimate partner violence and associated injury among urban women. </w:t>
      </w:r>
      <w:r>
        <w:rPr>
          <w:i/>
        </w:rPr>
        <w:t>Journal of Community Health</w:t>
      </w:r>
      <w:r>
        <w:t xml:space="preserve">, </w:t>
      </w:r>
      <w:r>
        <w:rPr>
          <w:i/>
        </w:rPr>
        <w:t>30</w:t>
      </w:r>
      <w:r>
        <w:t>, 377–389.</w:t>
      </w:r>
    </w:p>
    <w:p w14:paraId="6C6E83D8" w14:textId="77777777" w:rsidR="000A396A" w:rsidRDefault="000B545A">
      <w:pPr>
        <w:pStyle w:val="Bibliography"/>
      </w:pPr>
      <w:r>
        <w:t xml:space="preserve">Whitaker, P. (2014). Linking community protective factors to intimate partner violence perpetration. </w:t>
      </w:r>
      <w:r>
        <w:rPr>
          <w:i/>
        </w:rPr>
        <w:t>Violence Against Women</w:t>
      </w:r>
      <w:r>
        <w:t xml:space="preserve">, </w:t>
      </w:r>
      <w:r>
        <w:rPr>
          <w:i/>
        </w:rPr>
        <w:t>20</w:t>
      </w:r>
      <w:r>
        <w:t>, 1338–1359.</w:t>
      </w:r>
    </w:p>
    <w:sectPr w:rsidR="000A396A" w:rsidSect="00830C9F">
      <w:headerReference w:type="default" r:id="rId16"/>
      <w:headerReference w:type="first" r:id="rId17"/>
      <w:footerReference w:type="first" r:id="rId18"/>
      <w:pgSz w:w="12240" w:h="15840"/>
      <w:pgMar w:top="1440" w:right="1440" w:bottom="1440" w:left="1440" w:header="720" w:footer="720" w:gutter="0"/>
      <w:cols w:space="720"/>
      <w:formProt w:val="0"/>
      <w:titlePg/>
      <w:docGrid w:linePitch="326" w:charSpace="-6145"/>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45BE76" w14:textId="77777777" w:rsidR="000B545A" w:rsidRDefault="000B545A">
      <w:pPr>
        <w:spacing w:line="240" w:lineRule="auto"/>
      </w:pPr>
      <w:r>
        <w:separator/>
      </w:r>
    </w:p>
  </w:endnote>
  <w:endnote w:type="continuationSeparator" w:id="0">
    <w:p w14:paraId="0E12EBF5" w14:textId="77777777" w:rsidR="000B545A" w:rsidRDefault="000B545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Segoe Print"/>
    <w:charset w:val="00"/>
    <w:family w:val="swiss"/>
    <w:pitch w:val="variable"/>
    <w:sig w:usb0="E10022FF" w:usb1="C000E47F" w:usb2="00000029" w:usb3="00000000" w:csb0="000001DF" w:csb1="00000000"/>
  </w:font>
  <w:font w:name="Consolas">
    <w:panose1 w:val="020B0609020204030204"/>
    <w:charset w:val="00"/>
    <w:family w:val="auto"/>
    <w:pitch w:val="variable"/>
    <w:sig w:usb0="E10002FF" w:usb1="4000FCFF" w:usb2="00000009" w:usb3="00000000" w:csb0="0000019F" w:csb1="00000000"/>
  </w:font>
  <w:font w:name="ETBembo SemiBoldOSF">
    <w:panose1 w:val="02000703000000000000"/>
    <w:charset w:val="00"/>
    <w:family w:val="auto"/>
    <w:pitch w:val="variable"/>
    <w:sig w:usb0="800000AF" w:usb1="4000004A" w:usb2="00000000" w:usb3="00000000" w:csb0="00000001"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SimHei">
    <w:panose1 w:val="02010609060101010101"/>
    <w:charset w:val="86"/>
    <w:family w:val="auto"/>
    <w:pitch w:val="variable"/>
    <w:sig w:usb0="800002BF" w:usb1="38CF7CFA" w:usb2="00000016" w:usb3="00000000" w:csb0="0004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E21C18" w14:textId="77777777" w:rsidR="00830C9F" w:rsidRDefault="000B545A" w:rsidP="00830C9F">
    <w:pPr>
      <w:pStyle w:val="Footer"/>
      <w:spacing w:line="240" w:lineRule="auto"/>
      <w:ind w:firstLine="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28101C" w14:textId="77777777" w:rsidR="000B545A" w:rsidRDefault="000B545A">
      <w:r>
        <w:separator/>
      </w:r>
    </w:p>
  </w:footnote>
  <w:footnote w:type="continuationSeparator" w:id="0">
    <w:p w14:paraId="261D0753" w14:textId="77777777" w:rsidR="000B545A" w:rsidRDefault="000B545A">
      <w:r>
        <w:continuationSeparator/>
      </w:r>
    </w:p>
  </w:footnote>
  <w:footnote w:id="1">
    <w:p w14:paraId="0036B0BA" w14:textId="77777777" w:rsidR="000A396A" w:rsidRDefault="000B545A">
      <w:pPr>
        <w:pStyle w:val="FootnoteText"/>
      </w:pPr>
      <w:r>
        <w:rPr>
          <w:rStyle w:val="FootnoteReference"/>
        </w:rPr>
        <w:footnoteRef/>
      </w:r>
      <w:r>
        <w:t xml:space="preserve"> </w:t>
      </w:r>
      <w:hyperlink r:id="rId1">
        <w:r>
          <w:rPr>
            <w:rStyle w:val="Hyperlink"/>
          </w:rPr>
          <w:t>Society for Community Research and Action (SCRA)</w:t>
        </w:r>
      </w:hyperlink>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9039EF" w14:textId="77777777" w:rsidR="00051591" w:rsidRPr="00D0637C" w:rsidRDefault="000B545A" w:rsidP="00830C9F">
    <w:pPr>
      <w:spacing w:line="240" w:lineRule="auto"/>
      <w:ind w:firstLine="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D82BA9" w14:textId="77777777" w:rsidR="00051591" w:rsidRDefault="000B545A">
    <w:pPr>
      <w:ind w:firstLine="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050464E"/>
    <w:multiLevelType w:val="multilevel"/>
    <w:tmpl w:val="4198D87E"/>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843E1D5C"/>
    <w:multiLevelType w:val="multilevel"/>
    <w:tmpl w:val="845E9E1C"/>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nsid w:val="903AD3ED"/>
    <w:multiLevelType w:val="multilevel"/>
    <w:tmpl w:val="BD68D19A"/>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B67BEFE0"/>
    <w:multiLevelType w:val="multilevel"/>
    <w:tmpl w:val="9EBE5EA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nsid w:val="B978C2D8"/>
    <w:multiLevelType w:val="multilevel"/>
    <w:tmpl w:val="3822F04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nsid w:val="C7CBD970"/>
    <w:multiLevelType w:val="multilevel"/>
    <w:tmpl w:val="F788A1B2"/>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6">
    <w:nsid w:val="C7D6B3DA"/>
    <w:multiLevelType w:val="multilevel"/>
    <w:tmpl w:val="48E8782C"/>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7">
    <w:nsid w:val="E36454A2"/>
    <w:multiLevelType w:val="multilevel"/>
    <w:tmpl w:val="72C4295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8">
    <w:nsid w:val="E920E4BB"/>
    <w:multiLevelType w:val="multilevel"/>
    <w:tmpl w:val="DF42AC6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9">
    <w:nsid w:val="EFCEBCC5"/>
    <w:multiLevelType w:val="multilevel"/>
    <w:tmpl w:val="451CBAC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0">
    <w:nsid w:val="F05BCF2D"/>
    <w:multiLevelType w:val="multilevel"/>
    <w:tmpl w:val="57969140"/>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1">
    <w:nsid w:val="F78D3694"/>
    <w:multiLevelType w:val="multilevel"/>
    <w:tmpl w:val="44828968"/>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2">
    <w:nsid w:val="F8579074"/>
    <w:multiLevelType w:val="multilevel"/>
    <w:tmpl w:val="7F1E41C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3">
    <w:nsid w:val="FFFFFF1D"/>
    <w:multiLevelType w:val="multilevel"/>
    <w:tmpl w:val="6F6CF52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4">
    <w:nsid w:val="1AE1443D"/>
    <w:multiLevelType w:val="multilevel"/>
    <w:tmpl w:val="08AE677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5">
    <w:nsid w:val="1CE00C1B"/>
    <w:multiLevelType w:val="multilevel"/>
    <w:tmpl w:val="A050B4DA"/>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6">
    <w:nsid w:val="25249A17"/>
    <w:multiLevelType w:val="multilevel"/>
    <w:tmpl w:val="58D66ED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7">
    <w:nsid w:val="4F838DE6"/>
    <w:multiLevelType w:val="multilevel"/>
    <w:tmpl w:val="D138FA56"/>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8">
    <w:nsid w:val="51712EFD"/>
    <w:multiLevelType w:val="multilevel"/>
    <w:tmpl w:val="DAC2FD90"/>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9">
    <w:nsid w:val="5AE031E4"/>
    <w:multiLevelType w:val="multilevel"/>
    <w:tmpl w:val="3B4E747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
    <w:abstractNumId w:val="10"/>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3">
    <w:abstractNumId w:val="8"/>
  </w:num>
  <w:num w:numId="4">
    <w:abstractNumId w:val="8"/>
  </w:num>
  <w:num w:numId="5">
    <w:abstractNumId w:val="8"/>
  </w:num>
  <w:num w:numId="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6"/>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8">
    <w:abstractNumId w:val="1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8"/>
  </w:num>
  <w:num w:numId="11">
    <w:abstractNumId w:val="8"/>
  </w:num>
  <w:num w:numId="12">
    <w:abstractNumId w:val="6"/>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3">
    <w:abstractNumId w:val="1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4">
    <w:abstractNumId w:val="8"/>
  </w:num>
  <w:num w:numId="15">
    <w:abstractNumId w:val="1"/>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6">
    <w:abstractNumId w:val="11"/>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7">
    <w:abstractNumId w:val="5"/>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8">
    <w:abstractNumId w:val="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9">
    <w:abstractNumId w:val="0"/>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20">
    <w:abstractNumId w:val="8"/>
  </w:num>
  <w:num w:numId="21">
    <w:abstractNumId w:val="18"/>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numId="22">
    <w:abstractNumId w:val="8"/>
  </w:num>
  <w:num w:numId="23">
    <w:abstractNumId w:val="8"/>
  </w:num>
  <w:num w:numId="24">
    <w:abstractNumId w:val="8"/>
  </w:num>
  <w:num w:numId="25">
    <w:abstractNumId w:val="8"/>
  </w:num>
  <w:num w:numId="26">
    <w:abstractNumId w:val="8"/>
  </w:num>
  <w:num w:numId="27">
    <w:abstractNumId w:val="8"/>
  </w:num>
  <w:num w:numId="28">
    <w:abstractNumId w:val="4"/>
  </w:num>
  <w:num w:numId="2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0">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31">
    <w:abstractNumId w:val="12"/>
  </w:num>
  <w:num w:numId="32">
    <w:abstractNumId w:val="12"/>
  </w:num>
  <w:num w:numId="33">
    <w:abstractNumId w:val="12"/>
  </w:num>
  <w:num w:numId="34">
    <w:abstractNumId w:val="13"/>
  </w:num>
  <w:num w:numId="35">
    <w:abstractNumId w:val="14"/>
  </w:num>
  <w:num w:numId="36">
    <w:abstractNumId w:val="3"/>
  </w:num>
  <w:num w:numId="37">
    <w:abstractNumId w:val="3"/>
  </w:num>
  <w:num w:numId="38">
    <w:abstractNumId w:val="3"/>
  </w:num>
  <w:num w:numId="3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0">
    <w:abstractNumId w:val="3"/>
  </w:num>
  <w:num w:numId="41">
    <w:abstractNumId w:val="3"/>
  </w:num>
  <w:num w:numId="42">
    <w:abstractNumId w:val="3"/>
  </w:num>
  <w:num w:numId="43">
    <w:abstractNumId w:val="3"/>
  </w:num>
  <w:num w:numId="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590D07"/>
    <w:rsid w:val="00011C8B"/>
    <w:rsid w:val="000A396A"/>
    <w:rsid w:val="000B545A"/>
    <w:rsid w:val="000F6606"/>
    <w:rsid w:val="004E29B3"/>
    <w:rsid w:val="00590D07"/>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1090B7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Cs w:val="24"/>
        <w:lang w:val="en-US" w:eastAsia="ja-JP" w:bidi="ar-SA"/>
      </w:rPr>
    </w:rPrDefault>
    <w:pPrDefault>
      <w:pPr>
        <w:spacing w:line="480"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iPriority="9"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0" w:unhideWhenUsed="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2"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C2616"/>
    <w:pPr>
      <w:ind w:firstLine="720"/>
    </w:pPr>
    <w:rPr>
      <w:rFonts w:ascii="Times New Roman" w:eastAsiaTheme="minorHAnsi" w:hAnsi="Times New Roman"/>
      <w:color w:val="00000A"/>
      <w:sz w:val="24"/>
      <w:lang w:eastAsia="en-US"/>
    </w:rPr>
  </w:style>
  <w:style w:type="paragraph" w:styleId="Heading1">
    <w:name w:val="heading 1"/>
    <w:basedOn w:val="Normal"/>
    <w:next w:val="Normal"/>
    <w:link w:val="Heading1Char"/>
    <w:autoRedefine/>
    <w:uiPriority w:val="9"/>
    <w:qFormat/>
    <w:rsid w:val="00DD0DC5"/>
    <w:pPr>
      <w:keepNext/>
      <w:keepLines/>
      <w:pageBreakBefore/>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autoRedefine/>
    <w:uiPriority w:val="9"/>
    <w:unhideWhenUsed/>
    <w:qFormat/>
    <w:rsid w:val="00ED4E83"/>
    <w:pPr>
      <w:keepNext/>
      <w:keepLines/>
      <w:spacing w:before="180"/>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autoRedefine/>
    <w:uiPriority w:val="9"/>
    <w:unhideWhenUsed/>
    <w:qFormat/>
    <w:rsid w:val="00E578A2"/>
    <w:pPr>
      <w:keepNext/>
      <w:keepLines/>
      <w:spacing w:before="240" w:after="120"/>
      <w:outlineLvl w:val="2"/>
    </w:pPr>
    <w:rPr>
      <w:rFonts w:asciiTheme="majorHAnsi" w:eastAsiaTheme="majorEastAsia" w:hAnsiTheme="majorHAnsi" w:cstheme="majorBidi"/>
      <w:b/>
      <w:bCs/>
    </w:rPr>
  </w:style>
  <w:style w:type="paragraph" w:styleId="Heading4">
    <w:name w:val="heading 4"/>
    <w:basedOn w:val="Normal"/>
    <w:next w:val="Normal"/>
    <w:link w:val="Heading4Char"/>
    <w:autoRedefine/>
    <w:uiPriority w:val="9"/>
    <w:unhideWhenUsed/>
    <w:qFormat/>
    <w:rsid w:val="00556300"/>
    <w:pPr>
      <w:keepNext/>
      <w:keepLines/>
      <w:spacing w:before="24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unhideWhenUsed/>
    <w:qFormat/>
    <w:rsid w:val="00575B05"/>
    <w:pPr>
      <w:keepNext/>
      <w:keepLines/>
      <w:spacing w:after="120"/>
      <w:outlineLvl w:val="4"/>
    </w:pPr>
    <w:rPr>
      <w:rFonts w:asciiTheme="majorHAnsi" w:eastAsiaTheme="majorEastAsia" w:hAnsiTheme="majorHAnsi" w:cstheme="majorBidi"/>
      <w:i/>
      <w:iCs/>
    </w:rPr>
  </w:style>
  <w:style w:type="paragraph" w:styleId="Heading6">
    <w:name w:val="heading 6"/>
    <w:basedOn w:val="Normal"/>
    <w:next w:val="Normal"/>
    <w:link w:val="Heading6Char"/>
    <w:autoRedefine/>
    <w:uiPriority w:val="9"/>
    <w:qFormat/>
    <w:rsid w:val="00A97E3E"/>
    <w:pPr>
      <w:keepNext/>
      <w:keepLines/>
      <w:pageBreakBefore/>
      <w:spacing w:before="45"/>
      <w:ind w:firstLine="0"/>
      <w:jc w:val="center"/>
      <w:outlineLvl w:val="5"/>
    </w:pPr>
    <w:rPr>
      <w:rFonts w:asciiTheme="majorHAnsi" w:eastAsiaTheme="majorEastAsia" w:hAnsiTheme="majorHAnsi" w:cstheme="majorBidi"/>
      <w:color w:val="auto"/>
    </w:rPr>
  </w:style>
  <w:style w:type="paragraph" w:styleId="Heading7">
    <w:name w:val="heading 7"/>
    <w:basedOn w:val="Normal"/>
    <w:next w:val="Normal"/>
    <w:link w:val="Heading7Char"/>
    <w:uiPriority w:val="9"/>
    <w:semiHidden/>
    <w:qFormat/>
    <w:pPr>
      <w:keepNext/>
      <w:keepLines/>
      <w:spacing w:before="4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style>
  <w:style w:type="character" w:styleId="Strong">
    <w:name w:val="Strong"/>
    <w:basedOn w:val="DefaultParagraphFont"/>
    <w:uiPriority w:val="22"/>
    <w:unhideWhenUsed/>
    <w:qFormat/>
    <w:rPr>
      <w:b w:val="0"/>
      <w:bCs w:val="0"/>
      <w:caps/>
    </w:rPr>
  </w:style>
  <w:style w:type="character" w:styleId="PlaceholderText">
    <w:name w:val="Placeholder Text"/>
    <w:basedOn w:val="DefaultParagraphFont"/>
    <w:uiPriority w:val="99"/>
    <w:semiHidden/>
    <w:qFormat/>
    <w:rPr>
      <w:color w:val="808080"/>
    </w:rPr>
  </w:style>
  <w:style w:type="character" w:customStyle="1" w:styleId="Heading1Char">
    <w:name w:val="Heading 1 Char"/>
    <w:basedOn w:val="DefaultParagraphFont"/>
    <w:link w:val="Heading1"/>
    <w:uiPriority w:val="9"/>
    <w:qFormat/>
    <w:rsid w:val="00DD0DC5"/>
    <w:rPr>
      <w:rFonts w:asciiTheme="majorHAnsi" w:eastAsiaTheme="majorEastAsia" w:hAnsiTheme="majorHAnsi" w:cstheme="majorBidi"/>
      <w:b/>
      <w:bCs/>
      <w:lang w:eastAsia="en-US"/>
    </w:rPr>
  </w:style>
  <w:style w:type="character" w:customStyle="1" w:styleId="Heading2Char">
    <w:name w:val="Heading 2 Char"/>
    <w:basedOn w:val="DefaultParagraphFont"/>
    <w:link w:val="Heading2"/>
    <w:uiPriority w:val="9"/>
    <w:qFormat/>
    <w:rsid w:val="00ED4E83"/>
    <w:rPr>
      <w:rFonts w:asciiTheme="majorHAnsi" w:eastAsiaTheme="majorEastAsia" w:hAnsiTheme="majorHAnsi" w:cstheme="majorBidi"/>
      <w:b/>
      <w:bCs/>
      <w:lang w:eastAsia="en-US"/>
    </w:rPr>
  </w:style>
  <w:style w:type="character" w:customStyle="1" w:styleId="TitleChar">
    <w:name w:val="Title Char"/>
    <w:basedOn w:val="DefaultParagraphFont"/>
    <w:link w:val="Title"/>
    <w:uiPriority w:val="1"/>
    <w:qFormat/>
    <w:rsid w:val="004E62AB"/>
    <w:rPr>
      <w:rFonts w:asciiTheme="majorHAnsi" w:eastAsiaTheme="majorEastAsia" w:hAnsiTheme="majorHAnsi" w:cstheme="majorBidi"/>
      <w:lang w:eastAsia="en-US"/>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9"/>
    <w:qFormat/>
    <w:rsid w:val="00E578A2"/>
    <w:rPr>
      <w:rFonts w:asciiTheme="majorHAnsi" w:eastAsiaTheme="majorEastAsia" w:hAnsiTheme="majorHAnsi" w:cstheme="majorBidi"/>
      <w:b/>
      <w:bCs/>
      <w:lang w:eastAsia="en-US"/>
    </w:rPr>
  </w:style>
  <w:style w:type="character" w:customStyle="1" w:styleId="Heading4Char">
    <w:name w:val="Heading 4 Char"/>
    <w:basedOn w:val="DefaultParagraphFont"/>
    <w:link w:val="Heading4"/>
    <w:uiPriority w:val="9"/>
    <w:qFormat/>
    <w:rsid w:val="00556300"/>
    <w:rPr>
      <w:rFonts w:asciiTheme="majorHAnsi" w:eastAsiaTheme="majorEastAsia" w:hAnsiTheme="majorHAnsi" w:cstheme="majorBidi"/>
      <w:b/>
      <w:bCs/>
      <w:i/>
      <w:iCs/>
      <w:lang w:eastAsia="en-US"/>
    </w:rPr>
  </w:style>
  <w:style w:type="character" w:customStyle="1" w:styleId="Heading5Char">
    <w:name w:val="Heading 5 Char"/>
    <w:basedOn w:val="DefaultParagraphFont"/>
    <w:link w:val="Heading5"/>
    <w:uiPriority w:val="9"/>
    <w:qFormat/>
    <w:rsid w:val="00575B05"/>
    <w:rPr>
      <w:rFonts w:asciiTheme="majorHAnsi" w:eastAsiaTheme="majorEastAsia" w:hAnsiTheme="majorHAnsi" w:cstheme="majorBidi"/>
      <w:i/>
      <w:iCs/>
      <w:lang w:eastAsia="en-US"/>
    </w:rPr>
  </w:style>
  <w:style w:type="character" w:customStyle="1" w:styleId="BalloonTextChar">
    <w:name w:val="Balloon Text Char"/>
    <w:basedOn w:val="DefaultParagraphFont"/>
    <w:link w:val="BalloonText"/>
    <w:uiPriority w:val="99"/>
    <w:semiHidden/>
    <w:qFormat/>
    <w:rPr>
      <w:rFonts w:ascii="Segoe UI" w:hAnsi="Segoe UI" w:cs="Segoe UI"/>
      <w:sz w:val="18"/>
      <w:szCs w:val="18"/>
    </w:rPr>
  </w:style>
  <w:style w:type="character" w:customStyle="1" w:styleId="BodyTextChar">
    <w:name w:val="Body Text Char"/>
    <w:basedOn w:val="DefaultParagraphFont"/>
    <w:link w:val="TextBody"/>
    <w:qFormat/>
  </w:style>
  <w:style w:type="character" w:customStyle="1" w:styleId="BodyText2Char">
    <w:name w:val="Body Text 2 Char"/>
    <w:basedOn w:val="DefaultParagraphFont"/>
    <w:link w:val="BodyText2"/>
    <w:uiPriority w:val="99"/>
    <w:semiHidden/>
    <w:qFormat/>
  </w:style>
  <w:style w:type="character" w:customStyle="1" w:styleId="BodyText3Char">
    <w:name w:val="Body Text 3 Char"/>
    <w:basedOn w:val="DefaultParagraphFont"/>
    <w:link w:val="BodyText3"/>
    <w:uiPriority w:val="99"/>
    <w:semiHidden/>
    <w:qFormat/>
    <w:rPr>
      <w:sz w:val="16"/>
      <w:szCs w:val="16"/>
    </w:rPr>
  </w:style>
  <w:style w:type="character" w:customStyle="1" w:styleId="BodyTextFirstIndentChar">
    <w:name w:val="Body Text First Indent Char"/>
    <w:basedOn w:val="BodyTextChar"/>
    <w:uiPriority w:val="99"/>
    <w:semiHidden/>
    <w:qFormat/>
  </w:style>
  <w:style w:type="character" w:customStyle="1" w:styleId="BodyTextIndentChar">
    <w:name w:val="Body Text Indent Char"/>
    <w:basedOn w:val="DefaultParagraphFont"/>
    <w:link w:val="TextBodyIndent"/>
    <w:uiPriority w:val="99"/>
    <w:semiHidden/>
    <w:qFormat/>
  </w:style>
  <w:style w:type="character" w:customStyle="1" w:styleId="BodyTextFirstIndent2Char">
    <w:name w:val="Body Text First Indent 2 Char"/>
    <w:basedOn w:val="BodyTextIndentChar"/>
    <w:link w:val="BodyTextFirstIndent2"/>
    <w:uiPriority w:val="99"/>
    <w:semiHidden/>
    <w:qFormat/>
  </w:style>
  <w:style w:type="character" w:customStyle="1" w:styleId="BodyTextIndent2Char">
    <w:name w:val="Body Text Indent 2 Char"/>
    <w:basedOn w:val="DefaultParagraphFont"/>
    <w:link w:val="BodyTextIndent2"/>
    <w:uiPriority w:val="99"/>
    <w:semiHidden/>
    <w:qFormat/>
  </w:style>
  <w:style w:type="character" w:customStyle="1" w:styleId="BodyTextIndent3Char">
    <w:name w:val="Body Text Indent 3 Char"/>
    <w:basedOn w:val="DefaultParagraphFont"/>
    <w:link w:val="BodyTextIndent3"/>
    <w:uiPriority w:val="99"/>
    <w:semiHidden/>
    <w:qFormat/>
    <w:rPr>
      <w:sz w:val="16"/>
      <w:szCs w:val="16"/>
    </w:rPr>
  </w:style>
  <w:style w:type="character" w:customStyle="1" w:styleId="ClosingChar">
    <w:name w:val="Closing Char"/>
    <w:basedOn w:val="DefaultParagraphFont"/>
    <w:link w:val="Closing"/>
    <w:uiPriority w:val="99"/>
    <w:semiHidden/>
    <w:qFormat/>
  </w:style>
  <w:style w:type="character" w:customStyle="1" w:styleId="CommentTextChar">
    <w:name w:val="Comment Text Char"/>
    <w:basedOn w:val="DefaultParagraphFont"/>
    <w:link w:val="CommentText"/>
    <w:uiPriority w:val="99"/>
    <w:qFormat/>
    <w:rPr>
      <w:sz w:val="20"/>
      <w:szCs w:val="20"/>
    </w:rPr>
  </w:style>
  <w:style w:type="character" w:customStyle="1" w:styleId="CommentSubjectChar">
    <w:name w:val="Comment Subject Char"/>
    <w:basedOn w:val="CommentTextChar"/>
    <w:link w:val="CommentSubject"/>
    <w:uiPriority w:val="99"/>
    <w:semiHidden/>
    <w:qFormat/>
    <w:rPr>
      <w:b/>
      <w:bCs/>
      <w:sz w:val="20"/>
      <w:szCs w:val="20"/>
    </w:rPr>
  </w:style>
  <w:style w:type="character" w:customStyle="1" w:styleId="DateChar">
    <w:name w:val="Date Char"/>
    <w:basedOn w:val="DefaultParagraphFont"/>
    <w:link w:val="Date"/>
    <w:qFormat/>
    <w:rsid w:val="004E62AB"/>
    <w:rPr>
      <w:rFonts w:eastAsiaTheme="minorHAnsi"/>
      <w:lang w:eastAsia="en-US"/>
    </w:rPr>
  </w:style>
  <w:style w:type="character" w:customStyle="1" w:styleId="DocumentMapChar">
    <w:name w:val="Document Map Char"/>
    <w:basedOn w:val="DefaultParagraphFont"/>
    <w:link w:val="DocumentMap"/>
    <w:uiPriority w:val="99"/>
    <w:semiHidden/>
    <w:qFormat/>
    <w:rPr>
      <w:rFonts w:ascii="Segoe UI" w:hAnsi="Segoe UI" w:cs="Segoe UI"/>
      <w:sz w:val="16"/>
      <w:szCs w:val="16"/>
    </w:rPr>
  </w:style>
  <w:style w:type="character" w:customStyle="1" w:styleId="E-mailSignatureChar">
    <w:name w:val="E-mail Signature Char"/>
    <w:basedOn w:val="DefaultParagraphFont"/>
    <w:uiPriority w:val="99"/>
    <w:semiHidden/>
    <w:qFormat/>
  </w:style>
  <w:style w:type="character" w:customStyle="1" w:styleId="FootnoteTextChar">
    <w:name w:val="Footnote Text Char"/>
    <w:basedOn w:val="DefaultParagraphFont"/>
    <w:link w:val="FootnoteText"/>
    <w:uiPriority w:val="9"/>
    <w:qFormat/>
    <w:rsid w:val="0063031E"/>
    <w:rPr>
      <w:rFonts w:ascii="Times New Roman" w:eastAsiaTheme="minorHAnsi" w:hAnsi="Times New Roman"/>
      <w:color w:val="00000A"/>
      <w:sz w:val="16"/>
      <w:szCs w:val="20"/>
      <w:lang w:eastAsia="en-US"/>
    </w:rPr>
  </w:style>
  <w:style w:type="character" w:customStyle="1" w:styleId="FooterChar">
    <w:name w:val="Footer Char"/>
    <w:basedOn w:val="DefaultParagraphFont"/>
    <w:link w:val="Footer"/>
    <w:uiPriority w:val="99"/>
    <w:qFormat/>
  </w:style>
  <w:style w:type="character" w:customStyle="1" w:styleId="Heading6Char">
    <w:name w:val="Heading 6 Char"/>
    <w:basedOn w:val="DefaultParagraphFont"/>
    <w:link w:val="Heading6"/>
    <w:uiPriority w:val="9"/>
    <w:qFormat/>
    <w:rsid w:val="00A97E3E"/>
    <w:rPr>
      <w:rFonts w:asciiTheme="majorHAnsi" w:eastAsiaTheme="majorEastAsia" w:hAnsiTheme="majorHAnsi" w:cstheme="majorBidi"/>
      <w:sz w:val="24"/>
      <w:lang w:eastAsia="en-US"/>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6E6E6E" w:themeColor="accent1" w:themeShade="7F"/>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i/>
      <w:iCs/>
      <w:color w:val="272727" w:themeColor="text1" w:themeTint="D8"/>
      <w:sz w:val="21"/>
      <w:szCs w:val="21"/>
    </w:rPr>
  </w:style>
  <w:style w:type="character" w:customStyle="1" w:styleId="HTMLAddressChar">
    <w:name w:val="HTML Address Char"/>
    <w:basedOn w:val="DefaultParagraphFont"/>
    <w:link w:val="HTMLAddress"/>
    <w:uiPriority w:val="99"/>
    <w:semiHidden/>
    <w:qFormat/>
    <w:rPr>
      <w:i/>
      <w:iCs/>
    </w:rPr>
  </w:style>
  <w:style w:type="character" w:customStyle="1" w:styleId="HTMLPreformattedChar">
    <w:name w:val="HTML Preformatted Char"/>
    <w:basedOn w:val="DefaultParagraphFont"/>
    <w:link w:val="HTMLPreformatted"/>
    <w:uiPriority w:val="99"/>
    <w:semiHidden/>
    <w:qFormat/>
    <w:rPr>
      <w:rFonts w:ascii="Consolas" w:hAnsi="Consolas" w:cs="Consolas"/>
      <w:sz w:val="20"/>
      <w:szCs w:val="20"/>
    </w:rPr>
  </w:style>
  <w:style w:type="character" w:customStyle="1" w:styleId="IntenseQuoteChar">
    <w:name w:val="Intense Quote Char"/>
    <w:basedOn w:val="DefaultParagraphFont"/>
    <w:link w:val="IntenseQuote"/>
    <w:uiPriority w:val="30"/>
    <w:semiHidden/>
    <w:qFormat/>
    <w:rPr>
      <w:i/>
      <w:iCs/>
      <w:color w:val="DDDDDD" w:themeColor="accent1"/>
    </w:rPr>
  </w:style>
  <w:style w:type="character" w:customStyle="1" w:styleId="MacroTextChar">
    <w:name w:val="Macro Text Char"/>
    <w:basedOn w:val="DefaultParagraphFont"/>
    <w:link w:val="MacroText"/>
    <w:uiPriority w:val="99"/>
    <w:semiHidden/>
    <w:qFormat/>
    <w:rPr>
      <w:rFonts w:ascii="Consolas" w:hAnsi="Consolas" w:cs="Consolas"/>
      <w:sz w:val="20"/>
      <w:szCs w:val="20"/>
    </w:rPr>
  </w:style>
  <w:style w:type="character" w:customStyle="1" w:styleId="MessageHeaderChar">
    <w:name w:val="Message Header Char"/>
    <w:basedOn w:val="DefaultParagraphFont"/>
    <w:link w:val="MessageHeader"/>
    <w:uiPriority w:val="99"/>
    <w:semiHidden/>
    <w:qFormat/>
    <w:rPr>
      <w:rFonts w:asciiTheme="majorHAnsi" w:eastAsiaTheme="majorEastAsia" w:hAnsiTheme="majorHAnsi" w:cstheme="majorBidi"/>
      <w:shd w:val="clear" w:color="auto" w:fill="CCCCCC"/>
    </w:rPr>
  </w:style>
  <w:style w:type="character" w:customStyle="1" w:styleId="NoteHeadingChar">
    <w:name w:val="Note Heading Char"/>
    <w:basedOn w:val="DefaultParagraphFont"/>
    <w:link w:val="NoteHeading"/>
    <w:uiPriority w:val="99"/>
    <w:semiHidden/>
    <w:qFormat/>
  </w:style>
  <w:style w:type="character" w:customStyle="1" w:styleId="PlainTextChar">
    <w:name w:val="Plain Text Char"/>
    <w:basedOn w:val="DefaultParagraphFont"/>
    <w:link w:val="PlainText"/>
    <w:uiPriority w:val="99"/>
    <w:semiHidden/>
    <w:qFormat/>
    <w:rPr>
      <w:rFonts w:ascii="Consolas" w:hAnsi="Consolas" w:cs="Consolas"/>
      <w:sz w:val="21"/>
      <w:szCs w:val="21"/>
    </w:rPr>
  </w:style>
  <w:style w:type="character" w:customStyle="1" w:styleId="QuoteChar">
    <w:name w:val="Quote Char"/>
    <w:basedOn w:val="DefaultParagraphFont"/>
    <w:link w:val="Quote"/>
    <w:uiPriority w:val="29"/>
    <w:semiHidden/>
    <w:qFormat/>
    <w:rPr>
      <w:i/>
      <w:iCs/>
      <w:color w:val="404040" w:themeColor="text1" w:themeTint="BF"/>
    </w:rPr>
  </w:style>
  <w:style w:type="character" w:customStyle="1" w:styleId="SalutationChar">
    <w:name w:val="Salutation Char"/>
    <w:basedOn w:val="DefaultParagraphFont"/>
    <w:link w:val="ComplimentaryClose"/>
    <w:uiPriority w:val="99"/>
    <w:semiHidden/>
    <w:qFormat/>
  </w:style>
  <w:style w:type="character" w:customStyle="1" w:styleId="SignatureChar">
    <w:name w:val="Signature Char"/>
    <w:basedOn w:val="DefaultParagraphFont"/>
    <w:link w:val="Signature"/>
    <w:uiPriority w:val="99"/>
    <w:semiHidden/>
    <w:qFormat/>
  </w:style>
  <w:style w:type="character" w:styleId="EndnoteReference">
    <w:name w:val="endnote reference"/>
    <w:basedOn w:val="DefaultParagraphFont"/>
    <w:uiPriority w:val="99"/>
    <w:semiHidden/>
    <w:unhideWhenUsed/>
    <w:qFormat/>
    <w:rPr>
      <w:vertAlign w:val="superscript"/>
    </w:rPr>
  </w:style>
  <w:style w:type="character" w:styleId="FootnoteReference">
    <w:name w:val="footnote reference"/>
    <w:basedOn w:val="DefaultParagraphFont"/>
    <w:uiPriority w:val="99"/>
    <w:unhideWhenUsed/>
    <w:qFormat/>
    <w:rsid w:val="00552FE0"/>
    <w:rPr>
      <w:rFonts w:ascii="ETBembo SemiBoldOSF" w:hAnsi="ETBembo SemiBoldOSF"/>
      <w:b/>
      <w:bCs/>
      <w:sz w:val="20"/>
      <w:vertAlign w:val="superscript"/>
    </w:rPr>
  </w:style>
  <w:style w:type="character" w:customStyle="1" w:styleId="SubtitleChar">
    <w:name w:val="Subtitle Char"/>
    <w:basedOn w:val="DefaultParagraphFont"/>
    <w:link w:val="Subtitle"/>
    <w:qFormat/>
    <w:rsid w:val="004E62AB"/>
    <w:rPr>
      <w:rFonts w:asciiTheme="majorHAnsi" w:eastAsiaTheme="majorEastAsia" w:hAnsiTheme="majorHAnsi" w:cstheme="majorBidi"/>
      <w:bCs/>
      <w:lang w:eastAsia="en-US"/>
    </w:rPr>
  </w:style>
  <w:style w:type="character" w:customStyle="1" w:styleId="VerbatimChar">
    <w:name w:val="Verbatim Char"/>
    <w:basedOn w:val="BodyTextChar"/>
    <w:link w:val="SourceCode"/>
    <w:qFormat/>
    <w:rsid w:val="0084712E"/>
    <w:rPr>
      <w:rFonts w:ascii="Consolas" w:eastAsiaTheme="minorHAnsi" w:hAnsi="Consolas"/>
      <w:color w:val="68004D"/>
      <w:sz w:val="20"/>
      <w:shd w:val="clear" w:color="auto" w:fill="F2F2F2"/>
      <w:lang w:eastAsia="en-US"/>
    </w:rPr>
  </w:style>
  <w:style w:type="character" w:customStyle="1" w:styleId="FootnoteRef">
    <w:name w:val="Footnote Ref"/>
    <w:basedOn w:val="BodyTextChar"/>
    <w:qFormat/>
    <w:rsid w:val="00710ED1"/>
    <w:rPr>
      <w:vertAlign w:val="superscript"/>
    </w:rPr>
  </w:style>
  <w:style w:type="character" w:customStyle="1" w:styleId="Link">
    <w:name w:val="Link"/>
    <w:basedOn w:val="BodyTextChar"/>
    <w:qFormat/>
    <w:rsid w:val="00512AF5"/>
    <w:rPr>
      <w:color w:val="7F7F7F" w:themeColor="text1" w:themeTint="80"/>
    </w:rPr>
  </w:style>
  <w:style w:type="character" w:customStyle="1" w:styleId="KeywordTok">
    <w:name w:val="KeywordTok"/>
    <w:basedOn w:val="VerbatimChar"/>
    <w:qFormat/>
    <w:rPr>
      <w:rFonts w:ascii="Consolas" w:eastAsiaTheme="minorHAnsi" w:hAnsi="Consolas"/>
      <w:color w:val="68004D"/>
      <w:sz w:val="20"/>
      <w:shd w:val="clear" w:color="auto" w:fill="F2F2F2"/>
      <w:lang w:eastAsia="en-US"/>
    </w:rPr>
  </w:style>
  <w:style w:type="character" w:customStyle="1" w:styleId="DataTypeTok">
    <w:name w:val="DataTypeTok"/>
    <w:basedOn w:val="VerbatimChar"/>
    <w:qFormat/>
    <w:rPr>
      <w:rFonts w:ascii="Consolas" w:eastAsiaTheme="minorHAnsi" w:hAnsi="Consolas"/>
      <w:color w:val="68004D"/>
      <w:sz w:val="20"/>
      <w:shd w:val="clear" w:color="auto" w:fill="F2F2F2"/>
      <w:lang w:eastAsia="en-US"/>
    </w:rPr>
  </w:style>
  <w:style w:type="character" w:customStyle="1" w:styleId="DecValTok">
    <w:name w:val="DecValTok"/>
    <w:basedOn w:val="VerbatimChar"/>
    <w:qFormat/>
    <w:rPr>
      <w:rFonts w:ascii="Consolas" w:eastAsiaTheme="minorHAnsi" w:hAnsi="Consolas"/>
      <w:color w:val="68004D"/>
      <w:sz w:val="20"/>
      <w:shd w:val="clear" w:color="auto" w:fill="F2F2F2"/>
      <w:lang w:eastAsia="en-US"/>
    </w:rPr>
  </w:style>
  <w:style w:type="character" w:customStyle="1" w:styleId="BaseNTok">
    <w:name w:val="BaseNTok"/>
    <w:basedOn w:val="VerbatimChar"/>
    <w:qFormat/>
    <w:rPr>
      <w:rFonts w:ascii="Consolas" w:eastAsiaTheme="minorHAnsi" w:hAnsi="Consolas"/>
      <w:color w:val="68004D"/>
      <w:sz w:val="20"/>
      <w:shd w:val="clear" w:color="auto" w:fill="F2F2F2"/>
      <w:lang w:eastAsia="en-US"/>
    </w:rPr>
  </w:style>
  <w:style w:type="character" w:customStyle="1" w:styleId="FloatTok">
    <w:name w:val="FloatTok"/>
    <w:basedOn w:val="VerbatimChar"/>
    <w:qFormat/>
    <w:rPr>
      <w:rFonts w:ascii="Consolas" w:eastAsiaTheme="minorHAnsi" w:hAnsi="Consolas"/>
      <w:color w:val="68004D"/>
      <w:sz w:val="20"/>
      <w:shd w:val="clear" w:color="auto" w:fill="F2F2F2"/>
      <w:lang w:eastAsia="en-US"/>
    </w:rPr>
  </w:style>
  <w:style w:type="character" w:customStyle="1" w:styleId="CharTok">
    <w:name w:val="CharTok"/>
    <w:basedOn w:val="VerbatimChar"/>
    <w:qFormat/>
    <w:rPr>
      <w:rFonts w:ascii="Consolas" w:eastAsiaTheme="minorHAnsi" w:hAnsi="Consolas"/>
      <w:color w:val="68004D"/>
      <w:sz w:val="20"/>
      <w:shd w:val="clear" w:color="auto" w:fill="F2F2F2"/>
      <w:lang w:eastAsia="en-US"/>
    </w:rPr>
  </w:style>
  <w:style w:type="character" w:customStyle="1" w:styleId="StringTok">
    <w:name w:val="StringTok"/>
    <w:basedOn w:val="VerbatimChar"/>
    <w:qFormat/>
    <w:rPr>
      <w:rFonts w:ascii="Consolas" w:eastAsiaTheme="minorHAnsi" w:hAnsi="Consolas"/>
      <w:color w:val="68004D"/>
      <w:sz w:val="20"/>
      <w:shd w:val="clear" w:color="auto" w:fill="F2F2F2"/>
      <w:lang w:eastAsia="en-US"/>
    </w:rPr>
  </w:style>
  <w:style w:type="character" w:customStyle="1" w:styleId="CommentTok">
    <w:name w:val="CommentTok"/>
    <w:basedOn w:val="VerbatimChar"/>
    <w:qFormat/>
    <w:rPr>
      <w:rFonts w:ascii="Consolas" w:eastAsiaTheme="minorHAnsi" w:hAnsi="Consolas"/>
      <w:color w:val="68004D"/>
      <w:sz w:val="20"/>
      <w:shd w:val="clear" w:color="auto" w:fill="F2F2F2"/>
      <w:lang w:eastAsia="en-US"/>
    </w:rPr>
  </w:style>
  <w:style w:type="character" w:customStyle="1" w:styleId="OtherTok">
    <w:name w:val="OtherTok"/>
    <w:basedOn w:val="VerbatimChar"/>
    <w:qFormat/>
    <w:rPr>
      <w:rFonts w:ascii="Consolas" w:eastAsiaTheme="minorHAnsi" w:hAnsi="Consolas"/>
      <w:color w:val="68004D"/>
      <w:sz w:val="20"/>
      <w:shd w:val="clear" w:color="auto" w:fill="F2F2F2"/>
      <w:lang w:eastAsia="en-US"/>
    </w:rPr>
  </w:style>
  <w:style w:type="character" w:customStyle="1" w:styleId="AlertTok">
    <w:name w:val="AlertTok"/>
    <w:basedOn w:val="VerbatimChar"/>
    <w:qFormat/>
    <w:rPr>
      <w:rFonts w:ascii="Consolas" w:eastAsiaTheme="minorHAnsi" w:hAnsi="Consolas"/>
      <w:color w:val="68004D"/>
      <w:sz w:val="20"/>
      <w:shd w:val="clear" w:color="auto" w:fill="F2F2F2"/>
      <w:lang w:eastAsia="en-US"/>
    </w:rPr>
  </w:style>
  <w:style w:type="character" w:customStyle="1" w:styleId="FunctionTok">
    <w:name w:val="FunctionTok"/>
    <w:basedOn w:val="VerbatimChar"/>
    <w:qFormat/>
    <w:rPr>
      <w:rFonts w:ascii="Consolas" w:eastAsiaTheme="minorHAnsi" w:hAnsi="Consolas"/>
      <w:color w:val="68004D"/>
      <w:sz w:val="20"/>
      <w:shd w:val="clear" w:color="auto" w:fill="F2F2F2"/>
      <w:lang w:eastAsia="en-US"/>
    </w:rPr>
  </w:style>
  <w:style w:type="character" w:customStyle="1" w:styleId="RegionMarkerTok">
    <w:name w:val="RegionMarkerTok"/>
    <w:basedOn w:val="VerbatimChar"/>
    <w:qFormat/>
    <w:rPr>
      <w:rFonts w:ascii="Consolas" w:eastAsiaTheme="minorHAnsi" w:hAnsi="Consolas"/>
      <w:color w:val="68004D"/>
      <w:sz w:val="20"/>
      <w:shd w:val="clear" w:color="auto" w:fill="F2F2F2"/>
      <w:lang w:eastAsia="en-US"/>
    </w:rPr>
  </w:style>
  <w:style w:type="character" w:customStyle="1" w:styleId="ErrorTok">
    <w:name w:val="ErrorTok"/>
    <w:basedOn w:val="VerbatimChar"/>
    <w:qFormat/>
    <w:rPr>
      <w:rFonts w:ascii="Consolas" w:eastAsiaTheme="minorHAnsi" w:hAnsi="Consolas"/>
      <w:color w:val="68004D"/>
      <w:sz w:val="20"/>
      <w:shd w:val="clear" w:color="auto" w:fill="F2F2F2"/>
      <w:lang w:eastAsia="en-US"/>
    </w:rPr>
  </w:style>
  <w:style w:type="character" w:customStyle="1" w:styleId="NormalTok">
    <w:name w:val="NormalTok"/>
    <w:basedOn w:val="VerbatimChar"/>
    <w:qFormat/>
    <w:rPr>
      <w:rFonts w:ascii="Consolas" w:eastAsiaTheme="minorHAnsi" w:hAnsi="Consolas"/>
      <w:color w:val="68004D"/>
      <w:sz w:val="20"/>
      <w:shd w:val="clear" w:color="auto" w:fill="F2F2F2"/>
      <w:lang w:eastAsia="en-US"/>
    </w:rPr>
  </w:style>
  <w:style w:type="character" w:customStyle="1" w:styleId="InternetLink">
    <w:name w:val="Internet Link"/>
    <w:basedOn w:val="DefaultParagraphFont"/>
    <w:uiPriority w:val="99"/>
    <w:unhideWhenUsed/>
    <w:rsid w:val="00926DC0"/>
    <w:rPr>
      <w:color w:val="5F5F5F" w:themeColor="hyperlink"/>
      <w:u w:val="single"/>
    </w:rPr>
  </w:style>
  <w:style w:type="character" w:styleId="CommentReference">
    <w:name w:val="annotation reference"/>
    <w:basedOn w:val="DefaultParagraphFont"/>
    <w:uiPriority w:val="99"/>
    <w:semiHidden/>
    <w:unhideWhenUsed/>
    <w:qFormat/>
    <w:rsid w:val="006514DC"/>
    <w:rPr>
      <w:sz w:val="16"/>
      <w:szCs w:val="16"/>
    </w:rPr>
  </w:style>
  <w:style w:type="character" w:customStyle="1" w:styleId="HTMLCode1">
    <w:name w:val="HTML Code1"/>
    <w:basedOn w:val="DefaultParagraphFont"/>
    <w:uiPriority w:val="99"/>
    <w:semiHidden/>
    <w:unhideWhenUsed/>
    <w:qFormat/>
    <w:rsid w:val="00883777"/>
    <w:rPr>
      <w:rFonts w:ascii="Consolas" w:eastAsia="Times New Roman" w:hAnsi="Consolas" w:cs="Consolas"/>
      <w:sz w:val="17"/>
      <w:szCs w:val="17"/>
    </w:rPr>
  </w:style>
  <w:style w:type="character" w:customStyle="1" w:styleId="I-CODINGChar">
    <w:name w:val="I-CODING Char"/>
    <w:basedOn w:val="DefaultParagraphFont"/>
    <w:qFormat/>
    <w:rsid w:val="00883777"/>
    <w:rPr>
      <w:rFonts w:ascii="Consolas" w:eastAsiaTheme="minorHAnsi" w:hAnsi="Consolas"/>
      <w:sz w:val="14"/>
      <w:lang w:eastAsia="en-US"/>
    </w:rPr>
  </w:style>
  <w:style w:type="character" w:customStyle="1" w:styleId="Hyperlink1">
    <w:name w:val="Hyperlink1"/>
    <w:basedOn w:val="DefaultParagraphFont"/>
    <w:uiPriority w:val="99"/>
    <w:unhideWhenUsed/>
    <w:qFormat/>
    <w:rsid w:val="00883777"/>
    <w:rPr>
      <w:color w:val="5F5F5F"/>
      <w:u w:val="single"/>
    </w:rPr>
  </w:style>
  <w:style w:type="character" w:customStyle="1" w:styleId="TitleChar1">
    <w:name w:val="Title Char1"/>
    <w:basedOn w:val="DefaultParagraphFont"/>
    <w:uiPriority w:val="10"/>
    <w:qFormat/>
    <w:rsid w:val="00883777"/>
    <w:rPr>
      <w:rFonts w:ascii="Calibri Light" w:eastAsia="Times New Roman" w:hAnsi="Calibri Light" w:cs="Times New Roman"/>
      <w:spacing w:val="0"/>
      <w:sz w:val="56"/>
      <w:szCs w:val="56"/>
    </w:rPr>
  </w:style>
  <w:style w:type="character" w:customStyle="1" w:styleId="Heading8Char1">
    <w:name w:val="Heading 8 Char1"/>
    <w:basedOn w:val="DefaultParagraphFont"/>
    <w:uiPriority w:val="9"/>
    <w:semiHidden/>
    <w:qFormat/>
    <w:rsid w:val="00883777"/>
    <w:rPr>
      <w:rFonts w:ascii="Calibri Light" w:eastAsia="Times New Roman" w:hAnsi="Calibri Light" w:cs="Times New Roman"/>
      <w:color w:val="272727"/>
      <w:sz w:val="21"/>
      <w:szCs w:val="21"/>
    </w:rPr>
  </w:style>
  <w:style w:type="character" w:customStyle="1" w:styleId="Heading9Char1">
    <w:name w:val="Heading 9 Char1"/>
    <w:basedOn w:val="DefaultParagraphFont"/>
    <w:uiPriority w:val="9"/>
    <w:semiHidden/>
    <w:qFormat/>
    <w:rsid w:val="00883777"/>
    <w:rPr>
      <w:rFonts w:ascii="Calibri Light" w:eastAsia="Times New Roman" w:hAnsi="Calibri Light" w:cs="Times New Roman"/>
      <w:i/>
      <w:iCs/>
      <w:color w:val="272727"/>
      <w:sz w:val="21"/>
      <w:szCs w:val="21"/>
    </w:rPr>
  </w:style>
  <w:style w:type="character" w:customStyle="1" w:styleId="IntenseQuoteChar1">
    <w:name w:val="Intense Quote Char1"/>
    <w:basedOn w:val="DefaultParagraphFont"/>
    <w:uiPriority w:val="30"/>
    <w:qFormat/>
    <w:rsid w:val="00883777"/>
    <w:rPr>
      <w:rFonts w:ascii="Calibri" w:hAnsi="Calibri"/>
      <w:i/>
      <w:iCs/>
      <w:color w:val="5B9BD5"/>
      <w:szCs w:val="24"/>
    </w:rPr>
  </w:style>
  <w:style w:type="character" w:customStyle="1" w:styleId="MessageHeaderChar1">
    <w:name w:val="Message Header Char1"/>
    <w:basedOn w:val="DefaultParagraphFont"/>
    <w:uiPriority w:val="99"/>
    <w:semiHidden/>
    <w:qFormat/>
    <w:rsid w:val="00883777"/>
    <w:rPr>
      <w:rFonts w:ascii="Calibri Light" w:eastAsia="Times New Roman" w:hAnsi="Calibri Light" w:cs="Times New Roman"/>
      <w:sz w:val="24"/>
      <w:szCs w:val="24"/>
      <w:shd w:val="clear" w:color="auto" w:fill="CCCCCC"/>
    </w:rPr>
  </w:style>
  <w:style w:type="character" w:customStyle="1" w:styleId="QuoteChar1">
    <w:name w:val="Quote Char1"/>
    <w:basedOn w:val="DefaultParagraphFont"/>
    <w:uiPriority w:val="29"/>
    <w:qFormat/>
    <w:rsid w:val="00883777"/>
    <w:rPr>
      <w:rFonts w:ascii="Calibri" w:hAnsi="Calibri"/>
      <w:i/>
      <w:iCs/>
      <w:color w:val="404040"/>
      <w:szCs w:val="24"/>
    </w:rPr>
  </w:style>
  <w:style w:type="character" w:customStyle="1" w:styleId="SubtitleChar1">
    <w:name w:val="Subtitle Char1"/>
    <w:basedOn w:val="DefaultParagraphFont"/>
    <w:uiPriority w:val="11"/>
    <w:qFormat/>
    <w:rsid w:val="00883777"/>
    <w:rPr>
      <w:rFonts w:ascii="Calibri" w:eastAsia="Times New Roman" w:hAnsi="Calibri"/>
      <w:color w:val="5A5A5A"/>
      <w:spacing w:val="15"/>
      <w:sz w:val="22"/>
    </w:rPr>
  </w:style>
  <w:style w:type="character" w:styleId="HTMLCode">
    <w:name w:val="HTML Code"/>
    <w:basedOn w:val="DefaultParagraphFont"/>
    <w:uiPriority w:val="99"/>
    <w:semiHidden/>
    <w:unhideWhenUsed/>
    <w:qFormat/>
    <w:rsid w:val="00883777"/>
    <w:rPr>
      <w:rFonts w:ascii="Consolas" w:hAnsi="Consolas" w:cs="Consolas"/>
      <w:sz w:val="20"/>
      <w:szCs w:val="20"/>
    </w:rPr>
  </w:style>
  <w:style w:type="character" w:customStyle="1" w:styleId="EDITINGCOMMENTChar">
    <w:name w:val="EDITING COMMENT Char"/>
    <w:basedOn w:val="VerbatimChar"/>
    <w:link w:val="EDITINGCOMMENT"/>
    <w:qFormat/>
    <w:rsid w:val="00193AF3"/>
    <w:rPr>
      <w:rFonts w:ascii="Consolas" w:eastAsiaTheme="minorHAnsi" w:hAnsi="Consolas"/>
      <w:color w:val="B400B4"/>
      <w:sz w:val="20"/>
      <w:shd w:val="clear" w:color="auto" w:fill="F2F2F2"/>
      <w:lang w:eastAsia="en-US"/>
    </w:rPr>
  </w:style>
  <w:style w:type="character" w:customStyle="1" w:styleId="ConstantTok">
    <w:name w:val="ConstantTok"/>
    <w:basedOn w:val="VerbatimChar"/>
    <w:qFormat/>
    <w:rPr>
      <w:rFonts w:ascii="Consolas" w:eastAsiaTheme="minorHAnsi" w:hAnsi="Consolas"/>
      <w:color w:val="000000"/>
      <w:sz w:val="20"/>
      <w:shd w:val="clear" w:color="auto" w:fill="F8F8F8"/>
      <w:lang w:eastAsia="en-US"/>
    </w:rPr>
  </w:style>
  <w:style w:type="character" w:customStyle="1" w:styleId="SpecialCharTok">
    <w:name w:val="SpecialCharTok"/>
    <w:basedOn w:val="VerbatimChar"/>
    <w:qFormat/>
    <w:rPr>
      <w:rFonts w:ascii="Consolas" w:eastAsiaTheme="minorHAnsi" w:hAnsi="Consolas"/>
      <w:color w:val="000000"/>
      <w:sz w:val="20"/>
      <w:shd w:val="clear" w:color="auto" w:fill="F8F8F8"/>
      <w:lang w:eastAsia="en-US"/>
    </w:rPr>
  </w:style>
  <w:style w:type="character" w:customStyle="1" w:styleId="VerbatimStringTok">
    <w:name w:val="VerbatimStringTok"/>
    <w:basedOn w:val="VerbatimChar"/>
    <w:qFormat/>
    <w:rPr>
      <w:rFonts w:ascii="Consolas" w:eastAsiaTheme="minorHAnsi" w:hAnsi="Consolas"/>
      <w:color w:val="4E9A06"/>
      <w:sz w:val="20"/>
      <w:shd w:val="clear" w:color="auto" w:fill="F8F8F8"/>
      <w:lang w:eastAsia="en-US"/>
    </w:rPr>
  </w:style>
  <w:style w:type="character" w:customStyle="1" w:styleId="SpecialStringTok">
    <w:name w:val="SpecialStringTok"/>
    <w:basedOn w:val="VerbatimChar"/>
    <w:qFormat/>
    <w:rPr>
      <w:rFonts w:ascii="Consolas" w:eastAsiaTheme="minorHAnsi" w:hAnsi="Consolas"/>
      <w:color w:val="4E9A06"/>
      <w:sz w:val="20"/>
      <w:shd w:val="clear" w:color="auto" w:fill="F8F8F8"/>
      <w:lang w:eastAsia="en-US"/>
    </w:rPr>
  </w:style>
  <w:style w:type="character" w:customStyle="1" w:styleId="ImportTok">
    <w:name w:val="ImportTok"/>
    <w:basedOn w:val="VerbatimChar"/>
    <w:qFormat/>
    <w:rPr>
      <w:rFonts w:ascii="Consolas" w:eastAsiaTheme="minorHAnsi" w:hAnsi="Consolas"/>
      <w:color w:val="68004D"/>
      <w:sz w:val="20"/>
      <w:shd w:val="clear" w:color="auto" w:fill="F8F8F8"/>
      <w:lang w:eastAsia="en-US"/>
    </w:rPr>
  </w:style>
  <w:style w:type="character" w:customStyle="1" w:styleId="DocumentationTok">
    <w:name w:val="DocumentationTok"/>
    <w:basedOn w:val="VerbatimChar"/>
    <w:qFormat/>
    <w:rPr>
      <w:rFonts w:ascii="Consolas" w:eastAsiaTheme="minorHAnsi" w:hAnsi="Consolas"/>
      <w:i/>
      <w:color w:val="8F5902"/>
      <w:sz w:val="20"/>
      <w:shd w:val="clear" w:color="auto" w:fill="F8F8F8"/>
      <w:lang w:eastAsia="en-US"/>
    </w:rPr>
  </w:style>
  <w:style w:type="character" w:customStyle="1" w:styleId="AnnotationTok">
    <w:name w:val="AnnotationTok"/>
    <w:basedOn w:val="VerbatimChar"/>
    <w:qFormat/>
    <w:rPr>
      <w:rFonts w:ascii="Consolas" w:eastAsiaTheme="minorHAnsi" w:hAnsi="Consolas"/>
      <w:i/>
      <w:color w:val="8F5902"/>
      <w:sz w:val="20"/>
      <w:shd w:val="clear" w:color="auto" w:fill="F8F8F8"/>
      <w:lang w:eastAsia="en-US"/>
    </w:rPr>
  </w:style>
  <w:style w:type="character" w:customStyle="1" w:styleId="CommentVarTok">
    <w:name w:val="CommentVarTok"/>
    <w:basedOn w:val="VerbatimChar"/>
    <w:qFormat/>
    <w:rPr>
      <w:rFonts w:ascii="Consolas" w:eastAsiaTheme="minorHAnsi" w:hAnsi="Consolas"/>
      <w:i/>
      <w:color w:val="8F5902"/>
      <w:sz w:val="20"/>
      <w:shd w:val="clear" w:color="auto" w:fill="F8F8F8"/>
      <w:lang w:eastAsia="en-US"/>
    </w:rPr>
  </w:style>
  <w:style w:type="character" w:customStyle="1" w:styleId="VariableTok">
    <w:name w:val="VariableTok"/>
    <w:basedOn w:val="VerbatimChar"/>
    <w:qFormat/>
    <w:rPr>
      <w:rFonts w:ascii="Consolas" w:eastAsiaTheme="minorHAnsi" w:hAnsi="Consolas"/>
      <w:color w:val="000000"/>
      <w:sz w:val="20"/>
      <w:shd w:val="clear" w:color="auto" w:fill="F8F8F8"/>
      <w:lang w:eastAsia="en-US"/>
    </w:rPr>
  </w:style>
  <w:style w:type="character" w:customStyle="1" w:styleId="ControlFlowTok">
    <w:name w:val="ControlFlowTok"/>
    <w:basedOn w:val="VerbatimChar"/>
    <w:qFormat/>
    <w:rPr>
      <w:rFonts w:ascii="Consolas" w:eastAsiaTheme="minorHAnsi" w:hAnsi="Consolas"/>
      <w:color w:val="204A87"/>
      <w:sz w:val="20"/>
      <w:shd w:val="clear" w:color="auto" w:fill="F8F8F8"/>
      <w:lang w:eastAsia="en-US"/>
    </w:rPr>
  </w:style>
  <w:style w:type="character" w:customStyle="1" w:styleId="OperatorTok">
    <w:name w:val="OperatorTok"/>
    <w:basedOn w:val="VerbatimChar"/>
    <w:qFormat/>
    <w:rPr>
      <w:rFonts w:ascii="Consolas" w:eastAsiaTheme="minorHAnsi" w:hAnsi="Consolas"/>
      <w:color w:val="CE5C00"/>
      <w:sz w:val="20"/>
      <w:shd w:val="clear" w:color="auto" w:fill="F8F8F8"/>
      <w:lang w:eastAsia="en-US"/>
    </w:rPr>
  </w:style>
  <w:style w:type="character" w:customStyle="1" w:styleId="BuiltInTok">
    <w:name w:val="BuiltInTok"/>
    <w:basedOn w:val="VerbatimChar"/>
    <w:qFormat/>
    <w:rPr>
      <w:rFonts w:ascii="Consolas" w:eastAsiaTheme="minorHAnsi" w:hAnsi="Consolas"/>
      <w:color w:val="68004D"/>
      <w:sz w:val="20"/>
      <w:shd w:val="clear" w:color="auto" w:fill="F8F8F8"/>
      <w:lang w:eastAsia="en-US"/>
    </w:rPr>
  </w:style>
  <w:style w:type="character" w:customStyle="1" w:styleId="ExtensionTok">
    <w:name w:val="ExtensionTok"/>
    <w:basedOn w:val="VerbatimChar"/>
    <w:qFormat/>
    <w:rPr>
      <w:rFonts w:ascii="Consolas" w:eastAsiaTheme="minorHAnsi" w:hAnsi="Consolas"/>
      <w:color w:val="68004D"/>
      <w:sz w:val="20"/>
      <w:shd w:val="clear" w:color="auto" w:fill="F8F8F8"/>
      <w:lang w:eastAsia="en-US"/>
    </w:rPr>
  </w:style>
  <w:style w:type="character" w:customStyle="1" w:styleId="PreprocessorTok">
    <w:name w:val="PreprocessorTok"/>
    <w:basedOn w:val="VerbatimChar"/>
    <w:qFormat/>
    <w:rPr>
      <w:rFonts w:ascii="Consolas" w:eastAsiaTheme="minorHAnsi" w:hAnsi="Consolas"/>
      <w:i/>
      <w:color w:val="8F5902"/>
      <w:sz w:val="20"/>
      <w:shd w:val="clear" w:color="auto" w:fill="F8F8F8"/>
      <w:lang w:eastAsia="en-US"/>
    </w:rPr>
  </w:style>
  <w:style w:type="character" w:customStyle="1" w:styleId="AttributeTok">
    <w:name w:val="AttributeTok"/>
    <w:basedOn w:val="VerbatimChar"/>
    <w:qFormat/>
    <w:rPr>
      <w:rFonts w:ascii="Consolas" w:eastAsiaTheme="minorHAnsi" w:hAnsi="Consolas"/>
      <w:color w:val="C4A000"/>
      <w:sz w:val="20"/>
      <w:shd w:val="clear" w:color="auto" w:fill="F8F8F8"/>
      <w:lang w:eastAsia="en-US"/>
    </w:rPr>
  </w:style>
  <w:style w:type="character" w:customStyle="1" w:styleId="InformationTok">
    <w:name w:val="InformationTok"/>
    <w:basedOn w:val="VerbatimChar"/>
    <w:qFormat/>
    <w:rPr>
      <w:rFonts w:ascii="Consolas" w:eastAsiaTheme="minorHAnsi" w:hAnsi="Consolas"/>
      <w:i/>
      <w:color w:val="8F5902"/>
      <w:sz w:val="20"/>
      <w:shd w:val="clear" w:color="auto" w:fill="F8F8F8"/>
      <w:lang w:eastAsia="en-US"/>
    </w:rPr>
  </w:style>
  <w:style w:type="character" w:customStyle="1" w:styleId="WarningTok">
    <w:name w:val="WarningTok"/>
    <w:basedOn w:val="VerbatimChar"/>
    <w:qFormat/>
    <w:rPr>
      <w:rFonts w:ascii="Consolas" w:eastAsiaTheme="minorHAnsi" w:hAnsi="Consolas"/>
      <w:i/>
      <w:color w:val="8F5902"/>
      <w:sz w:val="20"/>
      <w:shd w:val="clear" w:color="auto" w:fill="F8F8F8"/>
      <w:lang w:eastAsia="en-US"/>
    </w:rPr>
  </w:style>
  <w:style w:type="character" w:customStyle="1" w:styleId="ListLabel1">
    <w:name w:val="ListLabel 1"/>
    <w:qFormat/>
    <w:rPr>
      <w:rFonts w:cs="Courier New"/>
    </w:rPr>
  </w:style>
  <w:style w:type="character" w:customStyle="1" w:styleId="ListLabel2">
    <w:name w:val="ListLabel 2"/>
    <w:qFormat/>
    <w:rPr>
      <w:sz w:val="20"/>
    </w:rPr>
  </w:style>
  <w:style w:type="character" w:customStyle="1" w:styleId="IndexLink">
    <w:name w:val="Index Link"/>
    <w:qFormat/>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TextBody"/>
    <w:qFormat/>
    <w:pPr>
      <w:keepNext/>
      <w:spacing w:before="240" w:after="120"/>
    </w:pPr>
    <w:rPr>
      <w:rFonts w:ascii="Liberation Sans" w:eastAsia="Droid Sans Fallback" w:hAnsi="Liberation Sans" w:cs="FreeSans"/>
      <w:sz w:val="28"/>
      <w:szCs w:val="28"/>
    </w:rPr>
  </w:style>
  <w:style w:type="paragraph" w:customStyle="1" w:styleId="TextBody">
    <w:name w:val="Text Body"/>
    <w:basedOn w:val="Normal"/>
    <w:link w:val="BodyTextChar"/>
    <w:unhideWhenUsed/>
    <w:pPr>
      <w:spacing w:after="120"/>
    </w:pPr>
  </w:style>
  <w:style w:type="paragraph" w:styleId="List">
    <w:name w:val="List"/>
    <w:basedOn w:val="Normal"/>
    <w:uiPriority w:val="99"/>
    <w:semiHidden/>
    <w:unhideWhenUsed/>
    <w:pPr>
      <w:ind w:left="360"/>
      <w:contextualSpacing/>
    </w:pPr>
  </w:style>
  <w:style w:type="paragraph" w:styleId="Caption">
    <w:name w:val="caption"/>
    <w:basedOn w:val="Normal"/>
    <w:next w:val="Normal"/>
    <w:uiPriority w:val="35"/>
    <w:semiHidden/>
    <w:unhideWhenUsed/>
    <w:qFormat/>
    <w:pPr>
      <w:spacing w:after="200"/>
    </w:pPr>
    <w:rPr>
      <w:i/>
      <w:iCs/>
      <w:color w:val="000000" w:themeColor="text2"/>
      <w:sz w:val="18"/>
      <w:szCs w:val="18"/>
    </w:rPr>
  </w:style>
  <w:style w:type="paragraph" w:customStyle="1" w:styleId="Index">
    <w:name w:val="Index"/>
    <w:basedOn w:val="Normal"/>
    <w:qFormat/>
    <w:pPr>
      <w:suppressLineNumbers/>
    </w:pPr>
    <w:rPr>
      <w:rFonts w:cs="FreeSans"/>
    </w:rPr>
  </w:style>
  <w:style w:type="paragraph" w:customStyle="1" w:styleId="SectionTitle">
    <w:name w:val="Section Title"/>
    <w:basedOn w:val="Normal"/>
    <w:next w:val="Normal"/>
    <w:uiPriority w:val="2"/>
    <w:qFormat/>
    <w:pPr>
      <w:pageBreakBefore/>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style>
  <w:style w:type="paragraph" w:styleId="NoSpacing">
    <w:name w:val="No Spacing"/>
    <w:uiPriority w:val="2"/>
    <w:qFormat/>
    <w:rPr>
      <w:color w:val="00000A"/>
      <w:sz w:val="24"/>
    </w:rPr>
  </w:style>
  <w:style w:type="paragraph" w:styleId="Title">
    <w:name w:val="Title"/>
    <w:basedOn w:val="Normal"/>
    <w:next w:val="Normal"/>
    <w:link w:val="TitleChar"/>
    <w:uiPriority w:val="1"/>
    <w:qFormat/>
    <w:rsid w:val="004E62AB"/>
    <w:pPr>
      <w:spacing w:before="2700" w:line="600" w:lineRule="auto"/>
      <w:ind w:firstLine="0"/>
      <w:contextualSpacing/>
      <w:jc w:val="center"/>
    </w:pPr>
    <w:rPr>
      <w:rFonts w:asciiTheme="majorHAnsi" w:eastAsiaTheme="majorEastAsia" w:hAnsiTheme="majorHAnsi" w:cstheme="majorBidi"/>
    </w:rPr>
  </w:style>
  <w:style w:type="paragraph" w:styleId="BalloonText">
    <w:name w:val="Balloon Text"/>
    <w:basedOn w:val="Normal"/>
    <w:link w:val="BalloonTextChar"/>
    <w:uiPriority w:val="99"/>
    <w:semiHidden/>
    <w:unhideWhenUsed/>
    <w:qFormat/>
    <w:rPr>
      <w:rFonts w:ascii="Segoe UI" w:hAnsi="Segoe UI" w:cs="Segoe UI"/>
      <w:sz w:val="18"/>
      <w:szCs w:val="18"/>
    </w:rPr>
  </w:style>
  <w:style w:type="paragraph" w:styleId="Bibliography">
    <w:name w:val="Bibliography"/>
    <w:basedOn w:val="Normal"/>
    <w:next w:val="Normal"/>
    <w:autoRedefine/>
    <w:unhideWhenUsed/>
    <w:qFormat/>
    <w:rsid w:val="00F27541"/>
    <w:pPr>
      <w:ind w:left="720" w:hanging="720"/>
    </w:pPr>
  </w:style>
  <w:style w:type="paragraph" w:styleId="BlockText">
    <w:name w:val="Block Text"/>
    <w:basedOn w:val="Normal"/>
    <w:uiPriority w:val="99"/>
    <w:unhideWhenUsed/>
    <w:qFormat/>
    <w:rsid w:val="008349A8"/>
    <w:pPr>
      <w:ind w:left="720" w:firstLine="0"/>
    </w:pPr>
    <w:rPr>
      <w:iCs/>
    </w:rPr>
  </w:style>
  <w:style w:type="paragraph" w:styleId="BodyText2">
    <w:name w:val="Body Text 2"/>
    <w:basedOn w:val="Normal"/>
    <w:link w:val="BodyText2Char"/>
    <w:uiPriority w:val="99"/>
    <w:semiHidden/>
    <w:unhideWhenUsed/>
    <w:qFormat/>
    <w:pPr>
      <w:spacing w:after="120"/>
    </w:pPr>
  </w:style>
  <w:style w:type="paragraph" w:styleId="BodyText3">
    <w:name w:val="Body Text 3"/>
    <w:basedOn w:val="Normal"/>
    <w:link w:val="BodyText3Char"/>
    <w:uiPriority w:val="99"/>
    <w:semiHidden/>
    <w:unhideWhenUsed/>
    <w:qFormat/>
    <w:pPr>
      <w:spacing w:after="120"/>
    </w:pPr>
    <w:rPr>
      <w:sz w:val="16"/>
      <w:szCs w:val="16"/>
    </w:rPr>
  </w:style>
  <w:style w:type="paragraph" w:customStyle="1" w:styleId="TextBodyIndent">
    <w:name w:val="Text Body Indent"/>
    <w:basedOn w:val="Normal"/>
    <w:link w:val="BodyTextIndentChar"/>
    <w:uiPriority w:val="99"/>
    <w:semiHidden/>
    <w:unhideWhenUsed/>
    <w:pPr>
      <w:spacing w:after="120"/>
      <w:ind w:left="360"/>
    </w:pPr>
  </w:style>
  <w:style w:type="paragraph" w:styleId="BodyTextFirstIndent2">
    <w:name w:val="Body Text First Indent 2"/>
    <w:basedOn w:val="TextBodyIndent"/>
    <w:link w:val="BodyTextFirstIndent2Char"/>
    <w:uiPriority w:val="99"/>
    <w:semiHidden/>
    <w:unhideWhenUsed/>
    <w:qFormat/>
    <w:pPr>
      <w:spacing w:after="0"/>
    </w:pPr>
  </w:style>
  <w:style w:type="paragraph" w:styleId="BodyTextIndent2">
    <w:name w:val="Body Text Indent 2"/>
    <w:basedOn w:val="Normal"/>
    <w:link w:val="BodyTextIndent2Char"/>
    <w:uiPriority w:val="99"/>
    <w:semiHidden/>
    <w:unhideWhenUsed/>
    <w:qFormat/>
    <w:pPr>
      <w:spacing w:after="120"/>
      <w:ind w:left="360"/>
    </w:pPr>
  </w:style>
  <w:style w:type="paragraph" w:styleId="BodyTextIndent3">
    <w:name w:val="Body Text Indent 3"/>
    <w:basedOn w:val="Normal"/>
    <w:link w:val="BodyTextIndent3Char"/>
    <w:uiPriority w:val="99"/>
    <w:semiHidden/>
    <w:unhideWhenUsed/>
    <w:qFormat/>
    <w:pPr>
      <w:spacing w:after="120"/>
      <w:ind w:left="360"/>
    </w:pPr>
    <w:rPr>
      <w:sz w:val="16"/>
      <w:szCs w:val="16"/>
    </w:rPr>
  </w:style>
  <w:style w:type="paragraph" w:styleId="Closing">
    <w:name w:val="Closing"/>
    <w:basedOn w:val="Normal"/>
    <w:link w:val="ClosingChar"/>
    <w:uiPriority w:val="99"/>
    <w:semiHidden/>
    <w:unhideWhenUsed/>
    <w:qFormat/>
    <w:pPr>
      <w:ind w:left="4320"/>
    </w:pPr>
  </w:style>
  <w:style w:type="paragraph" w:styleId="CommentText">
    <w:name w:val="annotation text"/>
    <w:basedOn w:val="Normal"/>
    <w:link w:val="CommentTextChar"/>
    <w:uiPriority w:val="99"/>
    <w:unhideWhenUsed/>
    <w:qFormat/>
    <w:rPr>
      <w:sz w:val="20"/>
      <w:szCs w:val="20"/>
    </w:rPr>
  </w:style>
  <w:style w:type="paragraph" w:styleId="CommentSubject">
    <w:name w:val="annotation subject"/>
    <w:basedOn w:val="CommentText"/>
    <w:link w:val="CommentSubjectChar"/>
    <w:uiPriority w:val="99"/>
    <w:semiHidden/>
    <w:unhideWhenUsed/>
    <w:qFormat/>
    <w:rPr>
      <w:b/>
      <w:bCs/>
    </w:rPr>
  </w:style>
  <w:style w:type="paragraph" w:styleId="Date">
    <w:name w:val="Date"/>
    <w:basedOn w:val="Normal"/>
    <w:next w:val="Normal"/>
    <w:link w:val="DateChar"/>
    <w:unhideWhenUsed/>
    <w:qFormat/>
    <w:rsid w:val="004E62AB"/>
    <w:pPr>
      <w:spacing w:before="270" w:after="450"/>
      <w:ind w:firstLine="0"/>
      <w:jc w:val="center"/>
    </w:pPr>
  </w:style>
  <w:style w:type="paragraph" w:styleId="DocumentMap">
    <w:name w:val="Document Map"/>
    <w:basedOn w:val="Normal"/>
    <w:link w:val="DocumentMapChar"/>
    <w:uiPriority w:val="99"/>
    <w:semiHidden/>
    <w:unhideWhenUsed/>
    <w:qFormat/>
    <w:rPr>
      <w:rFonts w:ascii="Segoe UI" w:hAnsi="Segoe UI" w:cs="Segoe UI"/>
      <w:sz w:val="16"/>
      <w:szCs w:val="16"/>
    </w:rPr>
  </w:style>
  <w:style w:type="paragraph" w:styleId="E-mailSignature">
    <w:name w:val="E-mail Signature"/>
    <w:basedOn w:val="Normal"/>
    <w:uiPriority w:val="99"/>
    <w:semiHidden/>
    <w:unhideWhenUsed/>
    <w:qFormat/>
  </w:style>
  <w:style w:type="paragraph" w:styleId="FootnoteText">
    <w:name w:val="footnote text"/>
    <w:basedOn w:val="Normal"/>
    <w:link w:val="FootnoteTextChar"/>
    <w:uiPriority w:val="9"/>
    <w:unhideWhenUsed/>
    <w:qFormat/>
    <w:rsid w:val="0063031E"/>
    <w:pPr>
      <w:spacing w:line="240" w:lineRule="auto"/>
      <w:ind w:firstLine="0"/>
    </w:pPr>
    <w:rPr>
      <w:sz w:val="16"/>
      <w:szCs w:val="20"/>
    </w:rPr>
  </w:style>
  <w:style w:type="paragraph" w:styleId="EnvelopeAddress">
    <w:name w:val="envelope address"/>
    <w:basedOn w:val="Normal"/>
    <w:uiPriority w:val="99"/>
    <w:semiHidden/>
    <w:unhideWhenUsed/>
    <w:qFormat/>
    <w:pPr>
      <w:ind w:left="2880"/>
    </w:pPr>
    <w:rPr>
      <w:rFonts w:asciiTheme="majorHAnsi" w:eastAsiaTheme="majorEastAsia" w:hAnsiTheme="majorHAnsi" w:cstheme="majorBidi"/>
    </w:rPr>
  </w:style>
  <w:style w:type="paragraph" w:styleId="EnvelopeReturn">
    <w:name w:val="envelope return"/>
    <w:basedOn w:val="Normal"/>
    <w:uiPriority w:val="99"/>
    <w:semiHidden/>
    <w:unhideWhenUsed/>
    <w:qFormat/>
    <w:rPr>
      <w:rFonts w:asciiTheme="majorHAnsi" w:eastAsiaTheme="majorEastAsia" w:hAnsiTheme="majorHAnsi" w:cstheme="majorBidi"/>
      <w:sz w:val="20"/>
      <w:szCs w:val="20"/>
    </w:rPr>
  </w:style>
  <w:style w:type="paragraph" w:styleId="Footer">
    <w:name w:val="footer"/>
    <w:basedOn w:val="Normal"/>
    <w:link w:val="FooterChar"/>
    <w:uiPriority w:val="99"/>
    <w:unhideWhenUsed/>
    <w:qFormat/>
    <w:pPr>
      <w:tabs>
        <w:tab w:val="center" w:pos="4680"/>
        <w:tab w:val="right" w:pos="9360"/>
      </w:tabs>
    </w:pPr>
  </w:style>
  <w:style w:type="paragraph" w:styleId="HTMLAddress">
    <w:name w:val="HTML Address"/>
    <w:basedOn w:val="Normal"/>
    <w:link w:val="HTMLAddressChar"/>
    <w:uiPriority w:val="99"/>
    <w:semiHidden/>
    <w:unhideWhenUsed/>
    <w:qFormat/>
    <w:rPr>
      <w:i/>
      <w:iCs/>
    </w:rPr>
  </w:style>
  <w:style w:type="paragraph" w:styleId="HTMLPreformatted">
    <w:name w:val="HTML Preformatted"/>
    <w:basedOn w:val="Normal"/>
    <w:link w:val="HTMLPreformattedChar"/>
    <w:uiPriority w:val="99"/>
    <w:semiHidden/>
    <w:unhideWhenUsed/>
    <w:qFormat/>
    <w:rPr>
      <w:rFonts w:ascii="Consolas" w:hAnsi="Consolas" w:cs="Consolas"/>
      <w:sz w:val="20"/>
      <w:szCs w:val="20"/>
    </w:rPr>
  </w:style>
  <w:style w:type="paragraph" w:styleId="Index1">
    <w:name w:val="index 1"/>
    <w:basedOn w:val="Normal"/>
    <w:next w:val="Normal"/>
    <w:autoRedefine/>
    <w:uiPriority w:val="99"/>
    <w:semiHidden/>
    <w:unhideWhenUsed/>
    <w:qFormat/>
    <w:pPr>
      <w:ind w:left="240"/>
    </w:pPr>
  </w:style>
  <w:style w:type="paragraph" w:styleId="Index2">
    <w:name w:val="index 2"/>
    <w:basedOn w:val="Normal"/>
    <w:next w:val="Normal"/>
    <w:autoRedefine/>
    <w:uiPriority w:val="99"/>
    <w:semiHidden/>
    <w:unhideWhenUsed/>
    <w:qFormat/>
    <w:pPr>
      <w:ind w:left="480"/>
    </w:pPr>
  </w:style>
  <w:style w:type="paragraph" w:styleId="Index3">
    <w:name w:val="index 3"/>
    <w:basedOn w:val="Normal"/>
    <w:next w:val="Normal"/>
    <w:autoRedefine/>
    <w:uiPriority w:val="99"/>
    <w:semiHidden/>
    <w:unhideWhenUsed/>
    <w:qFormat/>
    <w:pPr>
      <w:ind w:left="720"/>
    </w:pPr>
  </w:style>
  <w:style w:type="paragraph" w:styleId="Index4">
    <w:name w:val="index 4"/>
    <w:basedOn w:val="Normal"/>
    <w:next w:val="Normal"/>
    <w:autoRedefine/>
    <w:uiPriority w:val="99"/>
    <w:semiHidden/>
    <w:unhideWhenUsed/>
    <w:qFormat/>
    <w:pPr>
      <w:ind w:left="960"/>
    </w:pPr>
  </w:style>
  <w:style w:type="paragraph" w:styleId="Index5">
    <w:name w:val="index 5"/>
    <w:basedOn w:val="Normal"/>
    <w:next w:val="Normal"/>
    <w:autoRedefine/>
    <w:uiPriority w:val="99"/>
    <w:semiHidden/>
    <w:unhideWhenUsed/>
    <w:qFormat/>
    <w:pPr>
      <w:ind w:left="1200"/>
    </w:pPr>
  </w:style>
  <w:style w:type="paragraph" w:styleId="Index6">
    <w:name w:val="index 6"/>
    <w:basedOn w:val="Normal"/>
    <w:next w:val="Normal"/>
    <w:autoRedefine/>
    <w:uiPriority w:val="99"/>
    <w:semiHidden/>
    <w:unhideWhenUsed/>
    <w:qFormat/>
    <w:pPr>
      <w:ind w:left="1440"/>
    </w:pPr>
  </w:style>
  <w:style w:type="paragraph" w:styleId="Index7">
    <w:name w:val="index 7"/>
    <w:basedOn w:val="Normal"/>
    <w:next w:val="Normal"/>
    <w:autoRedefine/>
    <w:uiPriority w:val="99"/>
    <w:semiHidden/>
    <w:unhideWhenUsed/>
    <w:qFormat/>
    <w:pPr>
      <w:ind w:left="1680"/>
    </w:pPr>
  </w:style>
  <w:style w:type="paragraph" w:styleId="Index8">
    <w:name w:val="index 8"/>
    <w:basedOn w:val="Normal"/>
    <w:next w:val="Normal"/>
    <w:autoRedefine/>
    <w:uiPriority w:val="99"/>
    <w:semiHidden/>
    <w:unhideWhenUsed/>
    <w:qFormat/>
    <w:pPr>
      <w:ind w:left="1920"/>
    </w:pPr>
  </w:style>
  <w:style w:type="paragraph" w:styleId="Index9">
    <w:name w:val="index 9"/>
    <w:basedOn w:val="Normal"/>
    <w:next w:val="Normal"/>
    <w:autoRedefine/>
    <w:uiPriority w:val="99"/>
    <w:semiHidden/>
    <w:unhideWhenUsed/>
    <w:qFormat/>
    <w:pPr>
      <w:ind w:left="2160"/>
    </w:pPr>
  </w:style>
  <w:style w:type="paragraph" w:styleId="IndexHeading">
    <w:name w:val="index heading"/>
    <w:basedOn w:val="Normal"/>
    <w:uiPriority w:val="99"/>
    <w:semiHidden/>
    <w:unhideWhenUsed/>
    <w:qFormat/>
    <w:rPr>
      <w:rFonts w:asciiTheme="majorHAnsi" w:eastAsiaTheme="majorEastAsia" w:hAnsiTheme="majorHAnsi" w:cstheme="majorBidi"/>
      <w:b/>
      <w:bCs/>
    </w:rPr>
  </w:style>
  <w:style w:type="paragraph" w:styleId="IntenseQuote">
    <w:name w:val="Intense Quote"/>
    <w:basedOn w:val="Normal"/>
    <w:next w:val="Normal"/>
    <w:link w:val="IntenseQuoteChar"/>
    <w:uiPriority w:val="30"/>
    <w:unhideWhenUsed/>
    <w:qFormat/>
    <w:pPr>
      <w:pBdr>
        <w:top w:val="single" w:sz="4" w:space="10" w:color="DDDDDD"/>
        <w:bottom w:val="single" w:sz="4" w:space="10" w:color="DDDDDD"/>
      </w:pBdr>
      <w:spacing w:before="360" w:after="360"/>
      <w:ind w:left="864" w:right="864"/>
      <w:jc w:val="center"/>
    </w:pPr>
    <w:rPr>
      <w:i/>
      <w:iCs/>
      <w:color w:val="DDDDDD" w:themeColor="accent1"/>
    </w:rPr>
  </w:style>
  <w:style w:type="paragraph" w:styleId="List2">
    <w:name w:val="List 2"/>
    <w:basedOn w:val="Normal"/>
    <w:uiPriority w:val="99"/>
    <w:semiHidden/>
    <w:unhideWhenUsed/>
    <w:pPr>
      <w:ind w:left="720"/>
      <w:contextualSpacing/>
    </w:pPr>
  </w:style>
  <w:style w:type="paragraph" w:styleId="List3">
    <w:name w:val="List 3"/>
    <w:basedOn w:val="Normal"/>
    <w:uiPriority w:val="99"/>
    <w:semiHidden/>
    <w:unhideWhenUsed/>
    <w:pPr>
      <w:ind w:left="1080"/>
      <w:contextualSpacing/>
    </w:pPr>
  </w:style>
  <w:style w:type="paragraph" w:styleId="List4">
    <w:name w:val="List 4"/>
    <w:basedOn w:val="Normal"/>
    <w:uiPriority w:val="99"/>
    <w:semiHidden/>
    <w:unhideWhenUsed/>
    <w:pPr>
      <w:ind w:left="1440"/>
      <w:contextualSpacing/>
    </w:pPr>
  </w:style>
  <w:style w:type="paragraph" w:styleId="List5">
    <w:name w:val="List 5"/>
    <w:basedOn w:val="Normal"/>
    <w:uiPriority w:val="99"/>
    <w:semiHidden/>
    <w:unhideWhenUsed/>
    <w:pPr>
      <w:ind w:left="1800"/>
      <w:contextualSpacing/>
    </w:pPr>
  </w:style>
  <w:style w:type="paragraph" w:styleId="ListBullet">
    <w:name w:val="List Bullet"/>
    <w:basedOn w:val="Normal"/>
    <w:uiPriority w:val="9"/>
    <w:unhideWhenUsed/>
    <w:qFormat/>
    <w:pPr>
      <w:contextualSpacing/>
    </w:pPr>
  </w:style>
  <w:style w:type="paragraph" w:styleId="ListBullet2">
    <w:name w:val="List Bullet 2"/>
    <w:basedOn w:val="Normal"/>
    <w:uiPriority w:val="99"/>
    <w:semiHidden/>
    <w:unhideWhenUsed/>
    <w:qFormat/>
    <w:pPr>
      <w:ind w:firstLine="0"/>
      <w:contextualSpacing/>
    </w:pPr>
  </w:style>
  <w:style w:type="paragraph" w:styleId="ListBullet3">
    <w:name w:val="List Bullet 3"/>
    <w:basedOn w:val="Normal"/>
    <w:uiPriority w:val="99"/>
    <w:semiHidden/>
    <w:unhideWhenUsed/>
    <w:qFormat/>
    <w:pPr>
      <w:ind w:firstLine="0"/>
      <w:contextualSpacing/>
    </w:pPr>
  </w:style>
  <w:style w:type="paragraph" w:styleId="ListBullet4">
    <w:name w:val="List Bullet 4"/>
    <w:basedOn w:val="Normal"/>
    <w:uiPriority w:val="99"/>
    <w:semiHidden/>
    <w:unhideWhenUsed/>
    <w:qFormat/>
    <w:pPr>
      <w:ind w:firstLine="0"/>
      <w:contextualSpacing/>
    </w:pPr>
  </w:style>
  <w:style w:type="paragraph" w:styleId="ListBullet5">
    <w:name w:val="List Bullet 5"/>
    <w:basedOn w:val="Normal"/>
    <w:uiPriority w:val="99"/>
    <w:semiHidden/>
    <w:unhideWhenUsed/>
    <w:qFormat/>
    <w:pPr>
      <w:ind w:firstLine="0"/>
      <w:contextualSpacing/>
    </w:pPr>
  </w:style>
  <w:style w:type="paragraph" w:styleId="ListContinue">
    <w:name w:val="List Continue"/>
    <w:basedOn w:val="Normal"/>
    <w:uiPriority w:val="99"/>
    <w:semiHidden/>
    <w:unhideWhenUsed/>
    <w:qFormat/>
    <w:pPr>
      <w:spacing w:after="120"/>
      <w:ind w:left="360"/>
      <w:contextualSpacing/>
    </w:pPr>
  </w:style>
  <w:style w:type="paragraph" w:styleId="ListContinue2">
    <w:name w:val="List Continue 2"/>
    <w:basedOn w:val="Normal"/>
    <w:uiPriority w:val="99"/>
    <w:semiHidden/>
    <w:unhideWhenUsed/>
    <w:qFormat/>
    <w:pPr>
      <w:spacing w:after="120"/>
      <w:ind w:left="720"/>
      <w:contextualSpacing/>
    </w:pPr>
  </w:style>
  <w:style w:type="paragraph" w:styleId="ListContinue3">
    <w:name w:val="List Continue 3"/>
    <w:basedOn w:val="Normal"/>
    <w:uiPriority w:val="99"/>
    <w:semiHidden/>
    <w:unhideWhenUsed/>
    <w:qFormat/>
    <w:pPr>
      <w:spacing w:after="120"/>
      <w:ind w:left="1080"/>
      <w:contextualSpacing/>
    </w:pPr>
  </w:style>
  <w:style w:type="paragraph" w:styleId="ListContinue4">
    <w:name w:val="List Continue 4"/>
    <w:basedOn w:val="Normal"/>
    <w:uiPriority w:val="99"/>
    <w:semiHidden/>
    <w:unhideWhenUsed/>
    <w:qFormat/>
    <w:pPr>
      <w:spacing w:after="120"/>
      <w:ind w:left="1440"/>
      <w:contextualSpacing/>
    </w:pPr>
  </w:style>
  <w:style w:type="paragraph" w:styleId="ListContinue5">
    <w:name w:val="List Continue 5"/>
    <w:basedOn w:val="Normal"/>
    <w:uiPriority w:val="99"/>
    <w:semiHidden/>
    <w:unhideWhenUsed/>
    <w:qFormat/>
    <w:pPr>
      <w:spacing w:after="120"/>
      <w:ind w:left="1800"/>
      <w:contextualSpacing/>
    </w:pPr>
  </w:style>
  <w:style w:type="paragraph" w:styleId="ListNumber">
    <w:name w:val="List Number"/>
    <w:basedOn w:val="Normal"/>
    <w:uiPriority w:val="9"/>
    <w:unhideWhenUsed/>
    <w:qFormat/>
    <w:pPr>
      <w:contextualSpacing/>
    </w:pPr>
  </w:style>
  <w:style w:type="paragraph" w:styleId="ListNumber2">
    <w:name w:val="List Number 2"/>
    <w:basedOn w:val="Normal"/>
    <w:uiPriority w:val="99"/>
    <w:semiHidden/>
    <w:unhideWhenUsed/>
    <w:qFormat/>
    <w:pPr>
      <w:ind w:firstLine="0"/>
      <w:contextualSpacing/>
    </w:pPr>
  </w:style>
  <w:style w:type="paragraph" w:styleId="ListNumber3">
    <w:name w:val="List Number 3"/>
    <w:basedOn w:val="Normal"/>
    <w:uiPriority w:val="99"/>
    <w:semiHidden/>
    <w:unhideWhenUsed/>
    <w:qFormat/>
    <w:pPr>
      <w:ind w:firstLine="0"/>
      <w:contextualSpacing/>
    </w:pPr>
  </w:style>
  <w:style w:type="paragraph" w:styleId="ListNumber4">
    <w:name w:val="List Number 4"/>
    <w:basedOn w:val="Normal"/>
    <w:uiPriority w:val="99"/>
    <w:semiHidden/>
    <w:unhideWhenUsed/>
    <w:qFormat/>
    <w:pPr>
      <w:ind w:firstLine="0"/>
      <w:contextualSpacing/>
    </w:pPr>
  </w:style>
  <w:style w:type="paragraph" w:styleId="ListNumber5">
    <w:name w:val="List Number 5"/>
    <w:basedOn w:val="Normal"/>
    <w:uiPriority w:val="99"/>
    <w:semiHidden/>
    <w:unhideWhenUsed/>
    <w:qFormat/>
    <w:pPr>
      <w:ind w:firstLine="0"/>
      <w:contextualSpacing/>
    </w:pPr>
  </w:style>
  <w:style w:type="paragraph" w:styleId="ListParagraph">
    <w:name w:val="List Paragraph"/>
    <w:basedOn w:val="Normal"/>
    <w:uiPriority w:val="34"/>
    <w:unhideWhenUsed/>
    <w:qFormat/>
    <w:pPr>
      <w:ind w:left="720"/>
      <w:contextualSpacing/>
    </w:pPr>
  </w:style>
  <w:style w:type="paragraph" w:styleId="MacroText">
    <w:name w:val="macro"/>
    <w:link w:val="MacroTextChar"/>
    <w:uiPriority w:val="99"/>
    <w:semiHidden/>
    <w:unhideWhenUsed/>
    <w:qFormat/>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color w:val="00000A"/>
      <w:szCs w:val="20"/>
    </w:rPr>
  </w:style>
  <w:style w:type="paragraph" w:styleId="MessageHeader">
    <w:name w:val="Message Header"/>
    <w:basedOn w:val="Normal"/>
    <w:link w:val="MessageHeaderChar"/>
    <w:uiPriority w:val="99"/>
    <w:semiHidden/>
    <w:unhideWhenUsed/>
    <w:qFormat/>
    <w:pPr>
      <w:pBdr>
        <w:top w:val="single" w:sz="6" w:space="1" w:color="00000A"/>
        <w:left w:val="single" w:sz="6" w:space="1" w:color="00000A"/>
        <w:bottom w:val="single" w:sz="6" w:space="1" w:color="00000A"/>
        <w:right w:val="single" w:sz="6" w:space="1" w:color="00000A"/>
      </w:pBdr>
      <w:shd w:val="pct20" w:color="auto" w:fill="auto"/>
      <w:ind w:left="1080"/>
    </w:pPr>
    <w:rPr>
      <w:rFonts w:asciiTheme="majorHAnsi" w:eastAsiaTheme="majorEastAsia" w:hAnsiTheme="majorHAnsi" w:cstheme="majorBidi"/>
    </w:rPr>
  </w:style>
  <w:style w:type="paragraph" w:styleId="NormalWeb">
    <w:name w:val="Normal (Web)"/>
    <w:basedOn w:val="Normal"/>
    <w:uiPriority w:val="99"/>
    <w:unhideWhenUsed/>
    <w:qFormat/>
    <w:rPr>
      <w:rFonts w:cs="Times New Roman"/>
    </w:rPr>
  </w:style>
  <w:style w:type="paragraph" w:styleId="NormalIndent">
    <w:name w:val="Normal Indent"/>
    <w:basedOn w:val="Normal"/>
    <w:uiPriority w:val="99"/>
    <w:semiHidden/>
    <w:unhideWhenUsed/>
    <w:qFormat/>
    <w:pPr>
      <w:ind w:left="720"/>
    </w:pPr>
  </w:style>
  <w:style w:type="paragraph" w:styleId="NoteHeading">
    <w:name w:val="Note Heading"/>
    <w:basedOn w:val="Normal"/>
    <w:next w:val="Normal"/>
    <w:link w:val="NoteHeadingChar"/>
    <w:uiPriority w:val="99"/>
    <w:semiHidden/>
    <w:unhideWhenUsed/>
    <w:qFormat/>
  </w:style>
  <w:style w:type="paragraph" w:styleId="PlainText">
    <w:name w:val="Plain Text"/>
    <w:basedOn w:val="Normal"/>
    <w:link w:val="PlainTextChar"/>
    <w:uiPriority w:val="99"/>
    <w:semiHidden/>
    <w:unhideWhenUsed/>
    <w:qFormat/>
    <w:rPr>
      <w:rFonts w:ascii="Consolas" w:hAnsi="Consolas" w:cs="Consolas"/>
      <w:sz w:val="21"/>
      <w:szCs w:val="21"/>
    </w:rPr>
  </w:style>
  <w:style w:type="paragraph" w:styleId="Quote">
    <w:name w:val="Quote"/>
    <w:basedOn w:val="Normal"/>
    <w:next w:val="Normal"/>
    <w:link w:val="QuoteChar"/>
    <w:uiPriority w:val="29"/>
    <w:unhideWhenUsed/>
    <w:qFormat/>
    <w:pPr>
      <w:spacing w:before="200" w:after="160"/>
      <w:ind w:left="864" w:right="864"/>
      <w:jc w:val="center"/>
    </w:pPr>
    <w:rPr>
      <w:i/>
      <w:iCs/>
      <w:color w:val="404040" w:themeColor="text1" w:themeTint="BF"/>
    </w:rPr>
  </w:style>
  <w:style w:type="paragraph" w:customStyle="1" w:styleId="ComplimentaryClose">
    <w:name w:val="Complimentary Close"/>
    <w:basedOn w:val="Normal"/>
    <w:next w:val="Normal"/>
    <w:link w:val="SalutationChar"/>
    <w:uiPriority w:val="99"/>
    <w:semiHidden/>
    <w:unhideWhenUsed/>
  </w:style>
  <w:style w:type="paragraph" w:styleId="Signature">
    <w:name w:val="Signature"/>
    <w:basedOn w:val="Normal"/>
    <w:link w:val="SignatureChar"/>
    <w:uiPriority w:val="99"/>
    <w:semiHidden/>
    <w:unhideWhenUsed/>
    <w:pPr>
      <w:ind w:left="4320"/>
    </w:pPr>
  </w:style>
  <w:style w:type="paragraph" w:customStyle="1" w:styleId="Title2">
    <w:name w:val="Title 2"/>
    <w:basedOn w:val="Normal"/>
    <w:uiPriority w:val="1"/>
    <w:qFormat/>
    <w:pPr>
      <w:jc w:val="center"/>
    </w:pPr>
  </w:style>
  <w:style w:type="paragraph" w:styleId="TableofAuthorities">
    <w:name w:val="table of authorities"/>
    <w:basedOn w:val="Normal"/>
    <w:next w:val="Normal"/>
    <w:uiPriority w:val="99"/>
    <w:semiHidden/>
    <w:unhideWhenUsed/>
    <w:qFormat/>
    <w:pPr>
      <w:ind w:left="240"/>
    </w:pPr>
  </w:style>
  <w:style w:type="paragraph" w:styleId="TableofFigures">
    <w:name w:val="table of figures"/>
    <w:basedOn w:val="Normal"/>
    <w:next w:val="Normal"/>
    <w:uiPriority w:val="99"/>
    <w:semiHidden/>
    <w:unhideWhenUsed/>
    <w:qFormat/>
  </w:style>
  <w:style w:type="paragraph" w:styleId="TOAHeading">
    <w:name w:val="toa heading"/>
    <w:basedOn w:val="Normal"/>
    <w:next w:val="Normal"/>
    <w:uiPriority w:val="99"/>
    <w:semiHidden/>
    <w:unhideWhenUsed/>
    <w:qFormat/>
    <w:pPr>
      <w:spacing w:before="120"/>
    </w:pPr>
    <w:rPr>
      <w:rFonts w:asciiTheme="majorHAnsi" w:eastAsiaTheme="majorEastAsia" w:hAnsiTheme="majorHAnsi" w:cstheme="majorBidi"/>
      <w:b/>
      <w:bCs/>
    </w:rPr>
  </w:style>
  <w:style w:type="paragraph" w:customStyle="1" w:styleId="Contents4">
    <w:name w:val="Contents 4"/>
    <w:basedOn w:val="Normal"/>
    <w:next w:val="Normal"/>
    <w:autoRedefine/>
    <w:uiPriority w:val="39"/>
    <w:unhideWhenUsed/>
    <w:pPr>
      <w:ind w:left="480"/>
    </w:pPr>
    <w:rPr>
      <w:rFonts w:cstheme="minorHAnsi"/>
      <w:sz w:val="20"/>
      <w:szCs w:val="20"/>
    </w:rPr>
  </w:style>
  <w:style w:type="paragraph" w:customStyle="1" w:styleId="Contents5">
    <w:name w:val="Contents 5"/>
    <w:basedOn w:val="Normal"/>
    <w:next w:val="Normal"/>
    <w:autoRedefine/>
    <w:uiPriority w:val="39"/>
    <w:unhideWhenUsed/>
    <w:pPr>
      <w:ind w:left="720"/>
    </w:pPr>
    <w:rPr>
      <w:rFonts w:cstheme="minorHAnsi"/>
      <w:sz w:val="20"/>
      <w:szCs w:val="20"/>
    </w:rPr>
  </w:style>
  <w:style w:type="paragraph" w:customStyle="1" w:styleId="Contents6">
    <w:name w:val="Contents 6"/>
    <w:basedOn w:val="Normal"/>
    <w:next w:val="Normal"/>
    <w:autoRedefine/>
    <w:uiPriority w:val="39"/>
    <w:unhideWhenUsed/>
    <w:pPr>
      <w:ind w:left="960"/>
    </w:pPr>
    <w:rPr>
      <w:rFonts w:cstheme="minorHAnsi"/>
      <w:sz w:val="20"/>
      <w:szCs w:val="20"/>
    </w:rPr>
  </w:style>
  <w:style w:type="paragraph" w:customStyle="1" w:styleId="Contents7">
    <w:name w:val="Contents 7"/>
    <w:basedOn w:val="Normal"/>
    <w:next w:val="Normal"/>
    <w:autoRedefine/>
    <w:uiPriority w:val="39"/>
    <w:unhideWhenUsed/>
    <w:pPr>
      <w:ind w:left="1200"/>
    </w:pPr>
    <w:rPr>
      <w:rFonts w:cstheme="minorHAnsi"/>
      <w:sz w:val="20"/>
      <w:szCs w:val="20"/>
    </w:rPr>
  </w:style>
  <w:style w:type="paragraph" w:customStyle="1" w:styleId="Contents8">
    <w:name w:val="Contents 8"/>
    <w:basedOn w:val="Normal"/>
    <w:next w:val="Normal"/>
    <w:autoRedefine/>
    <w:uiPriority w:val="39"/>
    <w:unhideWhenUsed/>
    <w:pPr>
      <w:ind w:left="1440"/>
    </w:pPr>
    <w:rPr>
      <w:rFonts w:cstheme="minorHAnsi"/>
      <w:sz w:val="20"/>
      <w:szCs w:val="20"/>
    </w:rPr>
  </w:style>
  <w:style w:type="paragraph" w:customStyle="1" w:styleId="Contents9">
    <w:name w:val="Contents 9"/>
    <w:basedOn w:val="Normal"/>
    <w:next w:val="Normal"/>
    <w:autoRedefine/>
    <w:uiPriority w:val="39"/>
    <w:unhideWhenUsed/>
    <w:pPr>
      <w:ind w:left="1680"/>
    </w:pPr>
    <w:rPr>
      <w:rFonts w:cstheme="minorHAnsi"/>
      <w:sz w:val="20"/>
      <w:szCs w:val="20"/>
    </w:rPr>
  </w:style>
  <w:style w:type="paragraph" w:customStyle="1" w:styleId="TableFigure">
    <w:name w:val="Table/Figure"/>
    <w:basedOn w:val="Normal"/>
    <w:autoRedefine/>
    <w:uiPriority w:val="4"/>
    <w:qFormat/>
    <w:rsid w:val="003E3272"/>
    <w:pPr>
      <w:pageBreakBefore/>
      <w:spacing w:before="240"/>
      <w:ind w:firstLine="0"/>
      <w:contextualSpacing/>
      <w:jc w:val="center"/>
    </w:pPr>
  </w:style>
  <w:style w:type="paragraph" w:customStyle="1" w:styleId="Compact">
    <w:name w:val="Compact"/>
    <w:basedOn w:val="Normal"/>
    <w:autoRedefine/>
    <w:qFormat/>
    <w:rsid w:val="00AB0012"/>
    <w:pPr>
      <w:spacing w:line="240" w:lineRule="auto"/>
      <w:ind w:firstLine="0"/>
    </w:pPr>
    <w:rPr>
      <w:szCs w:val="22"/>
    </w:rPr>
  </w:style>
  <w:style w:type="paragraph" w:styleId="Subtitle">
    <w:name w:val="Subtitle"/>
    <w:basedOn w:val="Title"/>
    <w:next w:val="Normal"/>
    <w:link w:val="SubtitleChar"/>
    <w:qFormat/>
    <w:rsid w:val="004E62AB"/>
    <w:pPr>
      <w:keepNext/>
      <w:keepLines/>
      <w:spacing w:before="0"/>
    </w:pPr>
    <w:rPr>
      <w:bCs/>
    </w:rPr>
  </w:style>
  <w:style w:type="paragraph" w:customStyle="1" w:styleId="Author">
    <w:name w:val="Author"/>
    <w:next w:val="Normal"/>
    <w:qFormat/>
    <w:rsid w:val="004E62AB"/>
    <w:pPr>
      <w:keepNext/>
      <w:keepLines/>
      <w:spacing w:after="300" w:line="240" w:lineRule="auto"/>
      <w:jc w:val="center"/>
    </w:pPr>
    <w:rPr>
      <w:rFonts w:ascii="Times New Roman" w:eastAsiaTheme="minorHAnsi" w:hAnsi="Times New Roman"/>
      <w:color w:val="00000A"/>
      <w:sz w:val="24"/>
      <w:lang w:eastAsia="en-US"/>
    </w:rPr>
  </w:style>
  <w:style w:type="paragraph" w:customStyle="1" w:styleId="Abstract">
    <w:name w:val="Abstract"/>
    <w:basedOn w:val="Normal"/>
    <w:next w:val="Normal"/>
    <w:qFormat/>
    <w:rsid w:val="000F6A5E"/>
    <w:pPr>
      <w:keepNext/>
      <w:keepLines/>
      <w:spacing w:before="300" w:after="300"/>
      <w:ind w:firstLine="4320"/>
    </w:pPr>
    <w:rPr>
      <w:szCs w:val="20"/>
    </w:rPr>
  </w:style>
  <w:style w:type="paragraph" w:customStyle="1" w:styleId="BlockQuote">
    <w:name w:val="Block Quote"/>
    <w:basedOn w:val="Normal"/>
    <w:next w:val="Normal"/>
    <w:autoRedefine/>
    <w:uiPriority w:val="9"/>
    <w:unhideWhenUsed/>
    <w:qFormat/>
    <w:rsid w:val="00071F9F"/>
    <w:pPr>
      <w:spacing w:before="100" w:after="240"/>
      <w:ind w:left="720" w:firstLine="0"/>
    </w:pPr>
    <w:rPr>
      <w:rFonts w:asciiTheme="majorHAnsi" w:eastAsiaTheme="majorEastAsia" w:hAnsiTheme="majorHAnsi" w:cstheme="majorBidi"/>
      <w:bCs/>
      <w:szCs w:val="20"/>
    </w:rPr>
  </w:style>
  <w:style w:type="paragraph" w:customStyle="1" w:styleId="DefinitionTerm">
    <w:name w:val="Definition Term"/>
    <w:basedOn w:val="Normal"/>
    <w:qFormat/>
    <w:rsid w:val="002A27CE"/>
    <w:pPr>
      <w:keepNext/>
      <w:keepLines/>
      <w:spacing w:before="120" w:after="60" w:line="240" w:lineRule="auto"/>
      <w:ind w:firstLine="0"/>
    </w:pPr>
    <w:rPr>
      <w:b/>
      <w:smallCaps/>
    </w:rPr>
  </w:style>
  <w:style w:type="paragraph" w:customStyle="1" w:styleId="Definition">
    <w:name w:val="Definition"/>
    <w:basedOn w:val="Normal"/>
    <w:qFormat/>
    <w:rsid w:val="002A27CE"/>
    <w:pPr>
      <w:spacing w:after="120" w:line="240" w:lineRule="auto"/>
      <w:ind w:left="360" w:firstLine="0"/>
    </w:pPr>
  </w:style>
  <w:style w:type="paragraph" w:customStyle="1" w:styleId="TableCaption">
    <w:name w:val="Table Caption"/>
    <w:basedOn w:val="Normal"/>
    <w:autoRedefine/>
    <w:qFormat/>
    <w:rsid w:val="00A63D8F"/>
    <w:pPr>
      <w:pageBreakBefore/>
      <w:spacing w:after="120" w:line="240" w:lineRule="auto"/>
      <w:ind w:firstLine="0"/>
    </w:pPr>
    <w:rPr>
      <w:i/>
      <w:sz w:val="22"/>
    </w:rPr>
  </w:style>
  <w:style w:type="paragraph" w:customStyle="1" w:styleId="ImageCaption">
    <w:name w:val="Image Caption"/>
    <w:basedOn w:val="Normal"/>
    <w:autoRedefine/>
    <w:qFormat/>
    <w:rsid w:val="004B1C94"/>
    <w:pPr>
      <w:spacing w:before="120" w:line="240" w:lineRule="auto"/>
      <w:ind w:firstLine="0"/>
    </w:pPr>
    <w:rPr>
      <w:i/>
    </w:rPr>
  </w:style>
  <w:style w:type="paragraph" w:customStyle="1" w:styleId="SourceCode">
    <w:name w:val="Source Code"/>
    <w:basedOn w:val="Normal"/>
    <w:link w:val="VerbatimChar"/>
    <w:qFormat/>
    <w:pPr>
      <w:shd w:val="clear" w:color="auto" w:fill="F8F8F8"/>
    </w:pPr>
  </w:style>
  <w:style w:type="paragraph" w:customStyle="1" w:styleId="Contents1">
    <w:name w:val="Contents 1"/>
    <w:basedOn w:val="Normal"/>
    <w:next w:val="Normal"/>
    <w:autoRedefine/>
    <w:uiPriority w:val="39"/>
    <w:unhideWhenUsed/>
    <w:rsid w:val="00DB7C0E"/>
    <w:pPr>
      <w:spacing w:before="360"/>
    </w:pPr>
    <w:rPr>
      <w:rFonts w:asciiTheme="majorHAnsi" w:hAnsiTheme="majorHAnsi" w:cstheme="majorHAnsi"/>
      <w:b/>
      <w:bCs/>
      <w:caps/>
    </w:rPr>
  </w:style>
  <w:style w:type="paragraph" w:customStyle="1" w:styleId="Contents2">
    <w:name w:val="Contents 2"/>
    <w:basedOn w:val="Normal"/>
    <w:next w:val="Normal"/>
    <w:autoRedefine/>
    <w:uiPriority w:val="39"/>
    <w:unhideWhenUsed/>
    <w:rsid w:val="00926DC0"/>
    <w:pPr>
      <w:spacing w:before="240"/>
    </w:pPr>
    <w:rPr>
      <w:rFonts w:cstheme="minorHAnsi"/>
      <w:b/>
      <w:bCs/>
      <w:sz w:val="20"/>
      <w:szCs w:val="20"/>
    </w:rPr>
  </w:style>
  <w:style w:type="paragraph" w:customStyle="1" w:styleId="Contents3">
    <w:name w:val="Contents 3"/>
    <w:basedOn w:val="Normal"/>
    <w:next w:val="Normal"/>
    <w:autoRedefine/>
    <w:uiPriority w:val="39"/>
    <w:unhideWhenUsed/>
    <w:rsid w:val="00926DC0"/>
    <w:pPr>
      <w:ind w:left="240"/>
    </w:pPr>
    <w:rPr>
      <w:rFonts w:cstheme="minorHAnsi"/>
      <w:sz w:val="20"/>
      <w:szCs w:val="20"/>
    </w:rPr>
  </w:style>
  <w:style w:type="paragraph" w:customStyle="1" w:styleId="EDITINGCOMMENT">
    <w:name w:val="EDITING COMMENT"/>
    <w:basedOn w:val="SourceCode"/>
    <w:link w:val="EDITINGCOMMENTChar"/>
    <w:autoRedefine/>
    <w:qFormat/>
    <w:rsid w:val="00193AF3"/>
    <w:rPr>
      <w:b/>
      <w:color w:val="B400B4"/>
    </w:rPr>
  </w:style>
  <w:style w:type="paragraph" w:styleId="Revision">
    <w:name w:val="Revision"/>
    <w:uiPriority w:val="99"/>
    <w:semiHidden/>
    <w:qFormat/>
    <w:rsid w:val="0079261B"/>
    <w:pPr>
      <w:spacing w:line="240" w:lineRule="auto"/>
    </w:pPr>
    <w:rPr>
      <w:rFonts w:ascii="Times New Roman" w:eastAsiaTheme="minorHAnsi" w:hAnsi="Times New Roman"/>
      <w:color w:val="00000A"/>
      <w:sz w:val="24"/>
      <w:lang w:eastAsia="en-US"/>
    </w:rPr>
  </w:style>
  <w:style w:type="paragraph" w:customStyle="1" w:styleId="I-Transcript">
    <w:name w:val="I-Transcript"/>
    <w:basedOn w:val="Normal"/>
    <w:autoRedefine/>
    <w:qFormat/>
    <w:rsid w:val="00883777"/>
    <w:pPr>
      <w:tabs>
        <w:tab w:val="left" w:pos="1080"/>
      </w:tabs>
      <w:ind w:left="1080"/>
    </w:pPr>
    <w:rPr>
      <w:color w:val="5A6773"/>
      <w:sz w:val="20"/>
    </w:rPr>
  </w:style>
  <w:style w:type="paragraph" w:customStyle="1" w:styleId="P-Transcript">
    <w:name w:val="P-Transcript"/>
    <w:basedOn w:val="Normal"/>
    <w:autoRedefine/>
    <w:qFormat/>
    <w:rsid w:val="00883777"/>
    <w:pPr>
      <w:spacing w:before="100" w:afterAutospacing="1"/>
      <w:ind w:left="300" w:right="720"/>
    </w:pPr>
    <w:rPr>
      <w:i/>
      <w:color w:val="00008B"/>
      <w:sz w:val="20"/>
    </w:rPr>
  </w:style>
  <w:style w:type="paragraph" w:customStyle="1" w:styleId="I-CODING">
    <w:name w:val="I-CODING"/>
    <w:basedOn w:val="Normal"/>
    <w:next w:val="Normal"/>
    <w:autoRedefine/>
    <w:qFormat/>
    <w:rsid w:val="00883777"/>
    <w:rPr>
      <w:rFonts w:ascii="Consolas" w:hAnsi="Consolas"/>
      <w:sz w:val="14"/>
    </w:rPr>
  </w:style>
  <w:style w:type="paragraph" w:customStyle="1" w:styleId="P-CODING">
    <w:name w:val="P-CODING"/>
    <w:basedOn w:val="Normal"/>
    <w:autoRedefine/>
    <w:qFormat/>
    <w:rsid w:val="00883777"/>
    <w:rPr>
      <w:rFonts w:cs="Segoe UI"/>
      <w:color w:val="525252"/>
      <w:sz w:val="20"/>
    </w:rPr>
  </w:style>
  <w:style w:type="paragraph" w:customStyle="1" w:styleId="ul-li">
    <w:name w:val="ul-li"/>
    <w:basedOn w:val="List"/>
    <w:autoRedefine/>
    <w:qFormat/>
    <w:rsid w:val="00883777"/>
    <w:pPr>
      <w:spacing w:beforeAutospacing="1" w:afterAutospacing="1"/>
    </w:pPr>
    <w:rPr>
      <w:rFonts w:eastAsia="Times New Roman" w:cs="Helvetica"/>
      <w:color w:val="333333"/>
      <w:szCs w:val="18"/>
    </w:rPr>
  </w:style>
  <w:style w:type="paragraph" w:customStyle="1" w:styleId="ul-li2">
    <w:name w:val="ul-li2"/>
    <w:basedOn w:val="List2"/>
    <w:autoRedefine/>
    <w:qFormat/>
    <w:rsid w:val="00883777"/>
    <w:pPr>
      <w:spacing w:beforeAutospacing="1" w:afterAutospacing="1"/>
    </w:pPr>
    <w:rPr>
      <w:rFonts w:eastAsia="Times New Roman" w:cs="Helvetica"/>
      <w:color w:val="333333"/>
      <w:szCs w:val="18"/>
    </w:rPr>
  </w:style>
  <w:style w:type="paragraph" w:customStyle="1" w:styleId="MISC-CODING">
    <w:name w:val="MISC-CODING"/>
    <w:basedOn w:val="Normal"/>
    <w:autoRedefine/>
    <w:qFormat/>
    <w:rsid w:val="00883777"/>
    <w:rPr>
      <w:rFonts w:ascii="Consolas" w:eastAsia="Calibri" w:hAnsi="Consolas" w:cs="Times New Roman"/>
      <w:b/>
      <w:i/>
      <w:color w:val="44546A"/>
      <w:sz w:val="18"/>
      <w:szCs w:val="18"/>
    </w:rPr>
  </w:style>
  <w:style w:type="paragraph" w:customStyle="1" w:styleId="Heading81">
    <w:name w:val="Heading 81"/>
    <w:basedOn w:val="Normal"/>
    <w:next w:val="Normal"/>
    <w:uiPriority w:val="9"/>
    <w:semiHidden/>
    <w:qFormat/>
    <w:rsid w:val="00883777"/>
    <w:pPr>
      <w:keepNext/>
      <w:keepLines/>
      <w:spacing w:before="40"/>
      <w:outlineLvl w:val="7"/>
    </w:pPr>
    <w:rPr>
      <w:rFonts w:eastAsia="SimHei" w:cs="Times New Roman"/>
      <w:color w:val="272727"/>
      <w:sz w:val="21"/>
      <w:szCs w:val="21"/>
    </w:rPr>
  </w:style>
  <w:style w:type="paragraph" w:customStyle="1" w:styleId="Heading91">
    <w:name w:val="Heading 91"/>
    <w:basedOn w:val="Normal"/>
    <w:next w:val="Normal"/>
    <w:uiPriority w:val="9"/>
    <w:semiHidden/>
    <w:qFormat/>
    <w:rsid w:val="00883777"/>
    <w:pPr>
      <w:keepNext/>
      <w:keepLines/>
      <w:spacing w:before="40"/>
      <w:outlineLvl w:val="8"/>
    </w:pPr>
    <w:rPr>
      <w:rFonts w:eastAsia="SimHei" w:cs="Times New Roman"/>
      <w:i/>
      <w:iCs/>
      <w:color w:val="272727"/>
      <w:sz w:val="21"/>
      <w:szCs w:val="21"/>
    </w:rPr>
  </w:style>
  <w:style w:type="paragraph" w:customStyle="1" w:styleId="Title1">
    <w:name w:val="Title1"/>
    <w:basedOn w:val="Normal"/>
    <w:next w:val="Normal"/>
    <w:qFormat/>
    <w:rsid w:val="00883777"/>
    <w:pPr>
      <w:spacing w:before="2400"/>
      <w:contextualSpacing/>
      <w:jc w:val="center"/>
    </w:pPr>
    <w:rPr>
      <w:rFonts w:eastAsia="SimHei" w:cs="Times New Roman"/>
    </w:rPr>
  </w:style>
  <w:style w:type="paragraph" w:customStyle="1" w:styleId="BlockText1">
    <w:name w:val="Block Text1"/>
    <w:basedOn w:val="BlockText"/>
    <w:uiPriority w:val="99"/>
    <w:unhideWhenUsed/>
    <w:qFormat/>
    <w:rsid w:val="008349A8"/>
  </w:style>
  <w:style w:type="paragraph" w:customStyle="1" w:styleId="Caption1">
    <w:name w:val="Caption1"/>
    <w:basedOn w:val="Normal"/>
    <w:next w:val="Normal"/>
    <w:uiPriority w:val="35"/>
    <w:semiHidden/>
    <w:unhideWhenUsed/>
    <w:qFormat/>
    <w:rsid w:val="00883777"/>
    <w:pPr>
      <w:spacing w:after="200"/>
    </w:pPr>
    <w:rPr>
      <w:i/>
      <w:iCs/>
      <w:color w:val="000000"/>
      <w:sz w:val="18"/>
      <w:szCs w:val="18"/>
    </w:rPr>
  </w:style>
  <w:style w:type="paragraph" w:customStyle="1" w:styleId="EnvelopeAddress1">
    <w:name w:val="Envelope Address1"/>
    <w:basedOn w:val="Normal"/>
    <w:uiPriority w:val="99"/>
    <w:semiHidden/>
    <w:unhideWhenUsed/>
    <w:qFormat/>
    <w:rsid w:val="00883777"/>
    <w:pPr>
      <w:ind w:left="2880"/>
    </w:pPr>
    <w:rPr>
      <w:rFonts w:eastAsia="SimHei" w:cs="Times New Roman"/>
    </w:rPr>
  </w:style>
  <w:style w:type="paragraph" w:customStyle="1" w:styleId="EnvelopeReturn1">
    <w:name w:val="Envelope Return1"/>
    <w:basedOn w:val="Normal"/>
    <w:uiPriority w:val="99"/>
    <w:semiHidden/>
    <w:unhideWhenUsed/>
    <w:qFormat/>
    <w:rsid w:val="00883777"/>
    <w:rPr>
      <w:rFonts w:eastAsia="SimHei" w:cs="Times New Roman"/>
      <w:sz w:val="20"/>
      <w:szCs w:val="20"/>
    </w:rPr>
  </w:style>
  <w:style w:type="paragraph" w:customStyle="1" w:styleId="IndexHeading1">
    <w:name w:val="Index Heading1"/>
    <w:basedOn w:val="Normal"/>
    <w:uiPriority w:val="99"/>
    <w:semiHidden/>
    <w:unhideWhenUsed/>
    <w:qFormat/>
    <w:rsid w:val="00883777"/>
    <w:rPr>
      <w:rFonts w:eastAsia="SimHei" w:cs="Times New Roman"/>
      <w:b/>
      <w:bCs/>
    </w:rPr>
  </w:style>
  <w:style w:type="paragraph" w:customStyle="1" w:styleId="IntenseQuote1">
    <w:name w:val="Intense Quote1"/>
    <w:basedOn w:val="Normal"/>
    <w:next w:val="Normal"/>
    <w:uiPriority w:val="30"/>
    <w:semiHidden/>
    <w:unhideWhenUsed/>
    <w:qFormat/>
    <w:rsid w:val="00883777"/>
    <w:pPr>
      <w:pBdr>
        <w:top w:val="single" w:sz="4" w:space="10" w:color="DDDDDD"/>
        <w:bottom w:val="single" w:sz="4" w:space="10" w:color="DDDDDD"/>
      </w:pBdr>
      <w:spacing w:before="360" w:after="360"/>
      <w:ind w:left="864" w:right="864"/>
      <w:jc w:val="center"/>
    </w:pPr>
    <w:rPr>
      <w:i/>
      <w:iCs/>
      <w:color w:val="DDDDDD"/>
    </w:rPr>
  </w:style>
  <w:style w:type="paragraph" w:customStyle="1" w:styleId="MessageHeader1">
    <w:name w:val="Message Header1"/>
    <w:basedOn w:val="Normal"/>
    <w:uiPriority w:val="99"/>
    <w:semiHidden/>
    <w:unhideWhenUsed/>
    <w:qFormat/>
    <w:rsid w:val="00883777"/>
    <w:pPr>
      <w:pBdr>
        <w:top w:val="single" w:sz="6" w:space="1" w:color="00000A"/>
        <w:left w:val="single" w:sz="6" w:space="1" w:color="00000A"/>
        <w:bottom w:val="single" w:sz="6" w:space="1" w:color="00000A"/>
        <w:right w:val="single" w:sz="6" w:space="1" w:color="00000A"/>
      </w:pBdr>
      <w:shd w:val="pct20" w:color="auto" w:fill="auto"/>
      <w:ind w:left="1080"/>
    </w:pPr>
    <w:rPr>
      <w:rFonts w:eastAsia="SimHei" w:cs="Times New Roman"/>
      <w:sz w:val="20"/>
      <w:szCs w:val="22"/>
    </w:rPr>
  </w:style>
  <w:style w:type="paragraph" w:customStyle="1" w:styleId="Quote1">
    <w:name w:val="Quote1"/>
    <w:basedOn w:val="Normal"/>
    <w:next w:val="Normal"/>
    <w:uiPriority w:val="29"/>
    <w:semiHidden/>
    <w:unhideWhenUsed/>
    <w:qFormat/>
    <w:rsid w:val="00883777"/>
    <w:pPr>
      <w:spacing w:before="200" w:after="160"/>
      <w:ind w:left="864" w:right="864"/>
      <w:jc w:val="center"/>
    </w:pPr>
    <w:rPr>
      <w:i/>
      <w:iCs/>
      <w:color w:val="404040"/>
    </w:rPr>
  </w:style>
  <w:style w:type="paragraph" w:customStyle="1" w:styleId="TOAHeading1">
    <w:name w:val="TOA Heading1"/>
    <w:basedOn w:val="Normal"/>
    <w:next w:val="Normal"/>
    <w:uiPriority w:val="99"/>
    <w:semiHidden/>
    <w:unhideWhenUsed/>
    <w:qFormat/>
    <w:rsid w:val="00883777"/>
    <w:pPr>
      <w:spacing w:before="120"/>
    </w:pPr>
    <w:rPr>
      <w:rFonts w:eastAsia="SimHei" w:cs="Times New Roman"/>
      <w:b/>
      <w:bCs/>
    </w:rPr>
  </w:style>
  <w:style w:type="paragraph" w:customStyle="1" w:styleId="TOC41">
    <w:name w:val="TOC 41"/>
    <w:basedOn w:val="Normal"/>
    <w:next w:val="Normal"/>
    <w:autoRedefine/>
    <w:uiPriority w:val="39"/>
    <w:unhideWhenUsed/>
    <w:qFormat/>
    <w:rsid w:val="00883777"/>
    <w:rPr>
      <w:rFonts w:cs="Times New Roman"/>
      <w:sz w:val="22"/>
      <w:szCs w:val="22"/>
    </w:rPr>
  </w:style>
  <w:style w:type="paragraph" w:customStyle="1" w:styleId="TOC51">
    <w:name w:val="TOC 51"/>
    <w:basedOn w:val="Normal"/>
    <w:next w:val="Normal"/>
    <w:autoRedefine/>
    <w:uiPriority w:val="39"/>
    <w:unhideWhenUsed/>
    <w:qFormat/>
    <w:rsid w:val="00883777"/>
    <w:rPr>
      <w:rFonts w:cs="Times New Roman"/>
      <w:sz w:val="22"/>
      <w:szCs w:val="22"/>
    </w:rPr>
  </w:style>
  <w:style w:type="paragraph" w:customStyle="1" w:styleId="TOC61">
    <w:name w:val="TOC 61"/>
    <w:basedOn w:val="Normal"/>
    <w:next w:val="Normal"/>
    <w:autoRedefine/>
    <w:uiPriority w:val="39"/>
    <w:unhideWhenUsed/>
    <w:qFormat/>
    <w:rsid w:val="00883777"/>
    <w:rPr>
      <w:rFonts w:cs="Times New Roman"/>
      <w:sz w:val="22"/>
      <w:szCs w:val="22"/>
    </w:rPr>
  </w:style>
  <w:style w:type="paragraph" w:customStyle="1" w:styleId="TOC71">
    <w:name w:val="TOC 71"/>
    <w:basedOn w:val="Normal"/>
    <w:next w:val="Normal"/>
    <w:autoRedefine/>
    <w:uiPriority w:val="39"/>
    <w:unhideWhenUsed/>
    <w:qFormat/>
    <w:rsid w:val="00883777"/>
    <w:rPr>
      <w:rFonts w:cs="Times New Roman"/>
      <w:sz w:val="22"/>
      <w:szCs w:val="22"/>
    </w:rPr>
  </w:style>
  <w:style w:type="paragraph" w:customStyle="1" w:styleId="TOC81">
    <w:name w:val="TOC 81"/>
    <w:basedOn w:val="Normal"/>
    <w:next w:val="Normal"/>
    <w:autoRedefine/>
    <w:uiPriority w:val="39"/>
    <w:unhideWhenUsed/>
    <w:qFormat/>
    <w:rsid w:val="00883777"/>
    <w:rPr>
      <w:rFonts w:cs="Times New Roman"/>
      <w:sz w:val="22"/>
      <w:szCs w:val="22"/>
    </w:rPr>
  </w:style>
  <w:style w:type="paragraph" w:customStyle="1" w:styleId="TOC91">
    <w:name w:val="TOC 91"/>
    <w:basedOn w:val="Normal"/>
    <w:next w:val="Normal"/>
    <w:autoRedefine/>
    <w:uiPriority w:val="39"/>
    <w:unhideWhenUsed/>
    <w:qFormat/>
    <w:rsid w:val="00883777"/>
    <w:rPr>
      <w:rFonts w:cs="Times New Roman"/>
      <w:sz w:val="22"/>
      <w:szCs w:val="22"/>
    </w:rPr>
  </w:style>
  <w:style w:type="paragraph" w:customStyle="1" w:styleId="Subtitle1">
    <w:name w:val="Subtitle1"/>
    <w:basedOn w:val="Subtitle"/>
    <w:next w:val="Normal"/>
    <w:qFormat/>
    <w:rsid w:val="00FF7A43"/>
  </w:style>
  <w:style w:type="paragraph" w:customStyle="1" w:styleId="TOC11">
    <w:name w:val="TOC 11"/>
    <w:basedOn w:val="Normal"/>
    <w:next w:val="Normal"/>
    <w:autoRedefine/>
    <w:uiPriority w:val="39"/>
    <w:unhideWhenUsed/>
    <w:qFormat/>
    <w:rsid w:val="00883777"/>
    <w:pPr>
      <w:spacing w:before="360" w:after="360"/>
    </w:pPr>
    <w:rPr>
      <w:rFonts w:cs="Times New Roman"/>
      <w:b/>
      <w:bCs/>
      <w:caps/>
      <w:sz w:val="22"/>
      <w:szCs w:val="22"/>
      <w:u w:val="single"/>
    </w:rPr>
  </w:style>
  <w:style w:type="paragraph" w:customStyle="1" w:styleId="TOC21">
    <w:name w:val="TOC 21"/>
    <w:basedOn w:val="Normal"/>
    <w:next w:val="Normal"/>
    <w:autoRedefine/>
    <w:uiPriority w:val="39"/>
    <w:unhideWhenUsed/>
    <w:qFormat/>
    <w:rsid w:val="00883777"/>
    <w:rPr>
      <w:rFonts w:cs="Times New Roman"/>
      <w:b/>
      <w:bCs/>
      <w:smallCaps/>
      <w:sz w:val="22"/>
      <w:szCs w:val="22"/>
    </w:rPr>
  </w:style>
  <w:style w:type="paragraph" w:customStyle="1" w:styleId="TOC31">
    <w:name w:val="TOC 31"/>
    <w:basedOn w:val="Normal"/>
    <w:next w:val="Normal"/>
    <w:autoRedefine/>
    <w:uiPriority w:val="39"/>
    <w:unhideWhenUsed/>
    <w:qFormat/>
    <w:rsid w:val="00883777"/>
    <w:rPr>
      <w:rFonts w:cs="Times New Roman"/>
      <w:smallCaps/>
      <w:sz w:val="22"/>
      <w:szCs w:val="22"/>
    </w:rPr>
  </w:style>
  <w:style w:type="paragraph" w:customStyle="1" w:styleId="CITATIONPLACEHOLDER">
    <w:name w:val="CITATION PLACEHOLDER"/>
    <w:basedOn w:val="EDITINGCOMMENT"/>
    <w:autoRedefine/>
    <w:qFormat/>
    <w:rsid w:val="00174552"/>
    <w:pPr>
      <w:shd w:val="clear" w:color="auto" w:fill="F2F2F2" w:themeFill="background1" w:themeFillShade="F2"/>
    </w:pPr>
    <w:rPr>
      <w:color w:val="00D1CC"/>
      <w:sz w:val="22"/>
    </w:rPr>
  </w:style>
  <w:style w:type="paragraph" w:customStyle="1" w:styleId="Footnote">
    <w:name w:val="Footnote"/>
    <w:basedOn w:val="Normal"/>
  </w:style>
  <w:style w:type="paragraph" w:customStyle="1" w:styleId="ContentsHeading">
    <w:name w:val="Contents Heading"/>
    <w:basedOn w:val="Heading"/>
    <w:rsid w:val="00A97E3E"/>
    <w:rPr>
      <w:rFonts w:asciiTheme="majorHAnsi" w:eastAsiaTheme="minorHAnsi" w:hAnsiTheme="majorHAnsi" w:cstheme="majorHAnsi"/>
      <w:sz w:val="24"/>
      <w:szCs w:val="24"/>
    </w:rPr>
  </w:style>
  <w:style w:type="numbering" w:customStyle="1" w:styleId="NoList1">
    <w:name w:val="No List1"/>
    <w:uiPriority w:val="99"/>
    <w:semiHidden/>
    <w:unhideWhenUsed/>
    <w:rsid w:val="00883777"/>
  </w:style>
  <w:style w:type="numbering" w:customStyle="1" w:styleId="NoList11">
    <w:name w:val="No List11"/>
    <w:uiPriority w:val="99"/>
    <w:semiHidden/>
    <w:unhideWhenUsed/>
    <w:rsid w:val="00883777"/>
  </w:style>
  <w:style w:type="table" w:styleId="TableGrid">
    <w:name w:val="Table Grid"/>
    <w:basedOn w:val="TableNormal"/>
    <w:uiPriority w:val="3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pPr>
      <w:spacing w:line="240" w:lineRule="auto"/>
    </w:pPr>
    <w:tblPr>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style>
  <w:style w:type="table" w:customStyle="1" w:styleId="APAReport">
    <w:name w:val="APA Report"/>
    <w:basedOn w:val="TableNormal"/>
    <w:uiPriority w:val="99"/>
    <w:rsid w:val="00BC1439"/>
    <w:tblPr>
      <w:tblInd w:w="0" w:type="dxa"/>
      <w:tblBorders>
        <w:top w:val="single" w:sz="12" w:space="0" w:color="auto"/>
        <w:bottom w:val="single" w:sz="12" w:space="0" w:color="auto"/>
      </w:tblBorders>
      <w:tblCellMar>
        <w:top w:w="0" w:type="dxa"/>
        <w:left w:w="108" w:type="dxa"/>
        <w:bottom w:w="0" w:type="dxa"/>
        <w:right w:w="108" w:type="dxa"/>
      </w:tblCellMar>
    </w:tblPr>
    <w:tblStylePr w:type="firstRow">
      <w:rPr>
        <w:b/>
      </w:rPr>
      <w:tblPr/>
      <w:tcPr>
        <w:tcBorders>
          <w:top w:val="single" w:sz="12" w:space="0" w:color="auto"/>
          <w:left w:val="nil"/>
          <w:bottom w:val="single" w:sz="12" w:space="0" w:color="auto"/>
          <w:right w:val="nil"/>
          <w:insideH w:val="nil"/>
          <w:insideV w:val="nil"/>
          <w:tl2br w:val="nil"/>
          <w:tr2bl w:val="nil"/>
        </w:tcBorders>
      </w:tcPr>
    </w:tblStylePr>
  </w:style>
  <w:style w:type="table" w:customStyle="1" w:styleId="GridTable5Dark-Accent31">
    <w:name w:val="Grid Table 5 Dark - Accent 31"/>
    <w:basedOn w:val="TableNormal"/>
    <w:uiPriority w:val="50"/>
    <w:rsid w:val="00883777"/>
    <w:pPr>
      <w:spacing w:line="240" w:lineRule="auto"/>
    </w:pPr>
    <w:rPr>
      <w:szCs w:val="22"/>
      <w:lang w:eastAsia="en-US"/>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EDEDED"/>
    </w:tcPr>
    <w:tblStylePr w:type="firstRow">
      <w:rPr>
        <w:b/>
        <w:bCs/>
        <w:color w:val="FFFFFF"/>
      </w:rPr>
      <w:tblPr/>
      <w:tcPr>
        <w:shd w:val="clear" w:color="auto" w:fill="525252"/>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A5A5A5"/>
      </w:tcPr>
    </w:tblStylePr>
    <w:tblStylePr w:type="firstCol">
      <w:rPr>
        <w:b/>
        <w:bCs/>
        <w:color w:val="FFFFFF"/>
      </w:rPr>
      <w:tblPr/>
      <w:tcPr>
        <w:shd w:val="clear" w:color="auto" w:fill="525252"/>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A5A5A5"/>
      </w:tcPr>
    </w:tblStylePr>
    <w:tblStylePr w:type="band1Vert">
      <w:tblPr/>
      <w:tcPr>
        <w:shd w:val="clear" w:color="auto" w:fill="DBDBDB"/>
      </w:tcPr>
    </w:tblStylePr>
    <w:tblStylePr w:type="band1Horz">
      <w:tblPr/>
      <w:tcPr>
        <w:shd w:val="clear" w:color="auto" w:fill="CDE8FF"/>
      </w:tcPr>
    </w:tblStylePr>
    <w:tblStylePr w:type="band2Horz">
      <w:tblPr/>
      <w:tcPr>
        <w:shd w:val="clear" w:color="auto" w:fill="69BBFF"/>
      </w:tcPr>
    </w:tblStylePr>
    <w:tblStylePr w:type="nwCell">
      <w:tblPr/>
      <w:tcPr>
        <w:shd w:val="clear" w:color="auto" w:fill="525252"/>
      </w:tcPr>
    </w:tblStylePr>
    <w:tblStylePr w:type="swCell">
      <w:rPr>
        <w:color w:val="D9D9D9"/>
      </w:rPr>
      <w:tblPr/>
      <w:tcPr>
        <w:shd w:val="clear" w:color="auto" w:fill="525252"/>
      </w:tcPr>
    </w:tblStylePr>
  </w:style>
  <w:style w:type="table" w:customStyle="1" w:styleId="CODING">
    <w:name w:val="CODING"/>
    <w:basedOn w:val="GridTable5Dark-Accent2"/>
    <w:uiPriority w:val="99"/>
    <w:rsid w:val="00AC47D9"/>
    <w:pPr>
      <w:spacing w:line="480" w:lineRule="auto"/>
    </w:pPr>
    <w:rPr>
      <w:rFonts w:eastAsiaTheme="minorHAnsi"/>
      <w:sz w:val="16"/>
      <w:szCs w:val="20"/>
      <w:lang w:eastAsia="en-US"/>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0" w:type="dxa"/>
        <w:bottom w:w="0" w:type="dxa"/>
        <w:right w:w="0" w:type="dxa"/>
      </w:tblCellMar>
    </w:tblPr>
    <w:tcPr>
      <w:shd w:val="clear" w:color="auto" w:fill="CCCCCC" w:themeFill="text2" w:themeFillTint="33"/>
      <w:vAlign w:val="center"/>
    </w:tcPr>
    <w:tblStylePr w:type="firstRow">
      <w:rPr>
        <w:b/>
        <w:bCs/>
        <w:color w:val="FFFFFF" w:themeColor="background1"/>
        <w:sz w:val="16"/>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CCCCC" w:themeFill="text2" w:themeFillTint="33"/>
      </w:tcPr>
    </w:tblStylePr>
    <w:tblStylePr w:type="band1Vert">
      <w:tblPr/>
      <w:tcPr>
        <w:shd w:val="clear" w:color="auto" w:fill="E0E0E0" w:themeFill="accent2" w:themeFillTint="66"/>
      </w:tcPr>
    </w:tblStylePr>
    <w:tblStylePr w:type="band1Horz">
      <w:tblPr/>
      <w:tcPr>
        <w:shd w:val="clear" w:color="auto" w:fill="F2F2F4"/>
      </w:tcPr>
    </w:tblStylePr>
    <w:tblStylePr w:type="band2Horz">
      <w:tblPr/>
      <w:tcPr>
        <w:shd w:val="clear" w:color="auto" w:fill="CCCCCC" w:themeFill="text2" w:themeFillTint="33"/>
      </w:tcPr>
    </w:tblStylePr>
  </w:style>
  <w:style w:type="table" w:customStyle="1" w:styleId="GridTable5Dark-Accent21">
    <w:name w:val="Grid Table 5 Dark - Accent 21"/>
    <w:basedOn w:val="TableNormal"/>
    <w:uiPriority w:val="50"/>
    <w:rsid w:val="00883777"/>
    <w:pPr>
      <w:spacing w:line="240" w:lineRule="auto"/>
    </w:pPr>
    <w:rPr>
      <w:szCs w:val="22"/>
      <w:lang w:eastAsia="en-US"/>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FBE4D5"/>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ED7D31"/>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ED7D31"/>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ED7D31"/>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ED7D31"/>
      </w:tcPr>
    </w:tblStylePr>
    <w:tblStylePr w:type="band1Vert">
      <w:tblPr/>
      <w:tcPr>
        <w:shd w:val="clear" w:color="auto" w:fill="F7CAAC"/>
      </w:tcPr>
    </w:tblStylePr>
    <w:tblStylePr w:type="band1Horz">
      <w:tblPr/>
      <w:tcPr>
        <w:shd w:val="clear" w:color="auto" w:fill="F7CAAC"/>
      </w:tcPr>
    </w:tblStylePr>
  </w:style>
  <w:style w:type="table" w:customStyle="1" w:styleId="CODING2">
    <w:name w:val="CODING2"/>
    <w:basedOn w:val="DarkList-Accent3"/>
    <w:uiPriority w:val="99"/>
    <w:rsid w:val="00883777"/>
    <w:pPr>
      <w:spacing w:line="480" w:lineRule="auto"/>
    </w:pPr>
    <w:rPr>
      <w:sz w:val="16"/>
      <w:szCs w:val="20"/>
      <w:lang w:eastAsia="en-US"/>
    </w:rPr>
    <w:tblPr>
      <w:tblStyleRowBandSize w:val="1"/>
      <w:tblStyleCol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tcPr>
      <w:shd w:val="clear" w:color="auto" w:fill="969696" w:themeFill="accent3"/>
    </w:tcPr>
    <w:tblStylePr w:type="firstRow">
      <w:rPr>
        <w:b/>
        <w:bCs/>
      </w:rPr>
      <w:tblPr/>
      <w:tcPr>
        <w:tcBorders>
          <w:top w:val="nil"/>
          <w:left w:val="nil"/>
          <w:bottom w:val="nil"/>
          <w:right w:val="nil"/>
          <w:insideH w:val="nil"/>
          <w:insideV w:val="nil"/>
        </w:tcBorders>
        <w:shd w:val="clear" w:color="auto" w:fill="44546A"/>
      </w:tcPr>
    </w:tblStylePr>
    <w:tblStylePr w:type="lastRow">
      <w:tblPr/>
      <w:tcPr>
        <w:tcBorders>
          <w:top w:val="single" w:sz="18" w:space="0" w:color="FFFFFF"/>
          <w:left w:val="nil"/>
          <w:bottom w:val="nil"/>
          <w:right w:val="nil"/>
          <w:insideH w:val="nil"/>
          <w:insideV w:val="nil"/>
        </w:tcBorders>
        <w:shd w:val="clear" w:color="auto" w:fill="44546A"/>
      </w:tcPr>
    </w:tblStylePr>
    <w:tblStylePr w:type="firstCol">
      <w:tblPr/>
      <w:tcPr>
        <w:tcBorders>
          <w:top w:val="nil"/>
          <w:left w:val="nil"/>
          <w:bottom w:val="nil"/>
          <w:right w:val="single" w:sz="18" w:space="0" w:color="FFFFFF"/>
          <w:insideH w:val="nil"/>
          <w:insideV w:val="nil"/>
        </w:tcBorders>
        <w:shd w:val="clear" w:color="auto" w:fill="7B7B7B"/>
      </w:tcPr>
    </w:tblStylePr>
    <w:tblStylePr w:type="lastCol">
      <w:tblPr/>
      <w:tcPr>
        <w:tcBorders>
          <w:top w:val="nil"/>
          <w:left w:val="nil"/>
          <w:bottom w:val="nil"/>
          <w:right w:val="nil"/>
          <w:insideH w:val="nil"/>
          <w:insideV w:val="nil"/>
        </w:tcBorders>
        <w:shd w:val="clear" w:color="auto" w:fill="7B7B7B"/>
      </w:tcPr>
    </w:tblStylePr>
    <w:tblStylePr w:type="band1Vert">
      <w:tblPr/>
      <w:tcPr>
        <w:tcBorders>
          <w:top w:val="nil"/>
          <w:left w:val="nil"/>
          <w:bottom w:val="nil"/>
          <w:right w:val="nil"/>
          <w:insideH w:val="nil"/>
          <w:insideV w:val="nil"/>
        </w:tcBorders>
        <w:shd w:val="clear" w:color="auto" w:fill="7B7B7B"/>
      </w:tcPr>
    </w:tblStylePr>
    <w:tblStylePr w:type="band1Horz">
      <w:rPr>
        <w:color w:val="auto"/>
      </w:rPr>
      <w:tblPr/>
      <w:tcPr>
        <w:tcBorders>
          <w:top w:val="nil"/>
          <w:left w:val="nil"/>
          <w:bottom w:val="nil"/>
          <w:right w:val="nil"/>
          <w:insideH w:val="nil"/>
          <w:insideV w:val="nil"/>
        </w:tcBorders>
        <w:shd w:val="clear" w:color="auto" w:fill="F2F2F4"/>
      </w:tcPr>
    </w:tblStylePr>
    <w:tblStylePr w:type="band2Horz">
      <w:rPr>
        <w:color w:val="auto"/>
      </w:rPr>
      <w:tblPr/>
      <w:tcPr>
        <w:shd w:val="clear" w:color="auto" w:fill="D5DCE4"/>
      </w:tcPr>
    </w:tblStylePr>
  </w:style>
  <w:style w:type="table" w:customStyle="1" w:styleId="DarkList-Accent31">
    <w:name w:val="Dark List - Accent 31"/>
    <w:basedOn w:val="TableNormal"/>
    <w:uiPriority w:val="70"/>
    <w:semiHidden/>
    <w:unhideWhenUsed/>
    <w:rsid w:val="00883777"/>
    <w:pPr>
      <w:spacing w:line="240" w:lineRule="auto"/>
    </w:pPr>
    <w:rPr>
      <w:color w:val="FFFFFF"/>
      <w:szCs w:val="22"/>
      <w:lang w:eastAsia="en-US"/>
    </w:rPr>
    <w:tblPr>
      <w:tblStyleRowBandSize w:val="1"/>
      <w:tblStyleColBandSize w:val="1"/>
      <w:tblInd w:w="0" w:type="dxa"/>
      <w:tblCellMar>
        <w:top w:w="0" w:type="dxa"/>
        <w:left w:w="108" w:type="dxa"/>
        <w:bottom w:w="0" w:type="dxa"/>
        <w:right w:w="108" w:type="dxa"/>
      </w:tblCellMar>
    </w:tblPr>
    <w:tcPr>
      <w:shd w:val="clear" w:color="auto" w:fill="A5A5A5"/>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525252"/>
      </w:tcPr>
    </w:tblStylePr>
    <w:tblStylePr w:type="firstCol">
      <w:tblPr/>
      <w:tcPr>
        <w:tcBorders>
          <w:top w:val="nil"/>
          <w:left w:val="nil"/>
          <w:bottom w:val="nil"/>
          <w:right w:val="single" w:sz="18" w:space="0" w:color="FFFFFF"/>
          <w:insideH w:val="nil"/>
          <w:insideV w:val="nil"/>
        </w:tcBorders>
        <w:shd w:val="clear" w:color="auto" w:fill="7B7B7B"/>
      </w:tcPr>
    </w:tblStylePr>
    <w:tblStylePr w:type="lastCol">
      <w:tblPr/>
      <w:tcPr>
        <w:tcBorders>
          <w:top w:val="nil"/>
          <w:left w:val="single" w:sz="18" w:space="0" w:color="FFFFFF"/>
          <w:bottom w:val="nil"/>
          <w:right w:val="nil"/>
          <w:insideH w:val="nil"/>
          <w:insideV w:val="nil"/>
        </w:tcBorders>
        <w:shd w:val="clear" w:color="auto" w:fill="7B7B7B"/>
      </w:tcPr>
    </w:tblStylePr>
    <w:tblStylePr w:type="band1Vert">
      <w:tblPr/>
      <w:tcPr>
        <w:tcBorders>
          <w:top w:val="nil"/>
          <w:left w:val="nil"/>
          <w:bottom w:val="nil"/>
          <w:right w:val="nil"/>
          <w:insideH w:val="nil"/>
          <w:insideV w:val="nil"/>
        </w:tcBorders>
        <w:shd w:val="clear" w:color="auto" w:fill="7B7B7B"/>
      </w:tcPr>
    </w:tblStylePr>
    <w:tblStylePr w:type="band1Horz">
      <w:tblPr/>
      <w:tcPr>
        <w:tcBorders>
          <w:top w:val="nil"/>
          <w:left w:val="nil"/>
          <w:bottom w:val="nil"/>
          <w:right w:val="nil"/>
          <w:insideH w:val="nil"/>
          <w:insideV w:val="nil"/>
        </w:tcBorders>
        <w:shd w:val="clear" w:color="auto" w:fill="7B7B7B"/>
      </w:tcPr>
    </w:tblStylePr>
  </w:style>
  <w:style w:type="table" w:customStyle="1" w:styleId="TableGrid1">
    <w:name w:val="Table Grid1"/>
    <w:basedOn w:val="TableNormal"/>
    <w:uiPriority w:val="39"/>
    <w:rsid w:val="00883777"/>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Light1">
    <w:name w:val="Table Grid Light1"/>
    <w:basedOn w:val="TableNormal"/>
    <w:uiPriority w:val="40"/>
    <w:rsid w:val="00883777"/>
    <w:pPr>
      <w:spacing w:line="240" w:lineRule="auto"/>
    </w:pPr>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table" w:customStyle="1" w:styleId="APAReport1">
    <w:name w:val="APA Report1"/>
    <w:basedOn w:val="TableNormal"/>
    <w:uiPriority w:val="99"/>
    <w:rsid w:val="00883777"/>
    <w:pPr>
      <w:spacing w:line="240" w:lineRule="auto"/>
    </w:pPr>
    <w:tblPr>
      <w:tblInd w:w="0" w:type="dxa"/>
      <w:tblBorders>
        <w:top w:val="single" w:sz="12" w:space="0" w:color="auto"/>
        <w:bottom w:val="single" w:sz="12" w:space="0" w:color="auto"/>
      </w:tblBorders>
      <w:tblCellMar>
        <w:top w:w="0" w:type="dxa"/>
        <w:left w:w="108" w:type="dxa"/>
        <w:bottom w:w="0" w:type="dxa"/>
        <w:right w:w="108" w:type="dxa"/>
      </w:tblCellMar>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table" w:customStyle="1" w:styleId="TableGridLight2">
    <w:name w:val="Table Grid Light2"/>
    <w:basedOn w:val="TableNormal"/>
    <w:uiPriority w:val="40"/>
    <w:rsid w:val="00883777"/>
    <w:pPr>
      <w:spacing w:line="240" w:lineRule="auto"/>
    </w:pPr>
    <w:rPr>
      <w:szCs w:val="22"/>
      <w:lang w:eastAsia="en-US"/>
    </w:rPr>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table" w:styleId="GridTable5Dark-Accent3">
    <w:name w:val="Grid Table 5 Dark Accent 3"/>
    <w:basedOn w:val="TableNormal"/>
    <w:uiPriority w:val="50"/>
    <w:rsid w:val="00883777"/>
    <w:pPr>
      <w:spacing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AEAE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969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969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969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9696" w:themeFill="accent3"/>
      </w:tcPr>
    </w:tblStylePr>
    <w:tblStylePr w:type="band1Vert">
      <w:tblPr/>
      <w:tcPr>
        <w:shd w:val="clear" w:color="auto" w:fill="D5D5D5" w:themeFill="accent3" w:themeFillTint="66"/>
      </w:tcPr>
    </w:tblStylePr>
    <w:tblStylePr w:type="band1Horz">
      <w:tblPr/>
      <w:tcPr>
        <w:shd w:val="clear" w:color="auto" w:fill="D5D5D5" w:themeFill="accent3" w:themeFillTint="66"/>
      </w:tcPr>
    </w:tblStylePr>
  </w:style>
  <w:style w:type="table" w:styleId="GridTable5Dark-Accent2">
    <w:name w:val="Grid Table 5 Dark Accent 2"/>
    <w:basedOn w:val="TableNormal"/>
    <w:uiPriority w:val="50"/>
    <w:rsid w:val="00883777"/>
    <w:pPr>
      <w:spacing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FEFE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2B2B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2B2B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2B2B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2B2B2" w:themeFill="accent2"/>
      </w:tcPr>
    </w:tblStylePr>
    <w:tblStylePr w:type="band1Vert">
      <w:tblPr/>
      <w:tcPr>
        <w:shd w:val="clear" w:color="auto" w:fill="E0E0E0" w:themeFill="accent2" w:themeFillTint="66"/>
      </w:tcPr>
    </w:tblStylePr>
    <w:tblStylePr w:type="band1Horz">
      <w:tblPr/>
      <w:tcPr>
        <w:shd w:val="clear" w:color="auto" w:fill="E0E0E0" w:themeFill="accent2" w:themeFillTint="66"/>
      </w:tcPr>
    </w:tblStylePr>
  </w:style>
  <w:style w:type="table" w:styleId="DarkList-Accent3">
    <w:name w:val="Dark List Accent 3"/>
    <w:basedOn w:val="TableNormal"/>
    <w:uiPriority w:val="70"/>
    <w:semiHidden/>
    <w:unhideWhenUsed/>
    <w:rsid w:val="00883777"/>
    <w:pPr>
      <w:spacing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6969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A4A4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0707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07070" w:themeFill="accent3" w:themeFillShade="BF"/>
      </w:tcPr>
    </w:tblStylePr>
    <w:tblStylePr w:type="band1Vert">
      <w:tblPr/>
      <w:tcPr>
        <w:tcBorders>
          <w:top w:val="nil"/>
          <w:left w:val="nil"/>
          <w:bottom w:val="nil"/>
          <w:right w:val="nil"/>
          <w:insideH w:val="nil"/>
          <w:insideV w:val="nil"/>
        </w:tcBorders>
        <w:shd w:val="clear" w:color="auto" w:fill="707070" w:themeFill="accent3" w:themeFillShade="BF"/>
      </w:tcPr>
    </w:tblStylePr>
    <w:tblStylePr w:type="band1Horz">
      <w:tblPr/>
      <w:tcPr>
        <w:tcBorders>
          <w:top w:val="nil"/>
          <w:left w:val="nil"/>
          <w:bottom w:val="nil"/>
          <w:right w:val="nil"/>
          <w:insideH w:val="nil"/>
          <w:insideV w:val="nil"/>
        </w:tcBorders>
        <w:shd w:val="clear" w:color="auto" w:fill="707070" w:themeFill="accent3" w:themeFillShade="BF"/>
      </w:tcPr>
    </w:tblStylePr>
  </w:style>
  <w:style w:type="paragraph" w:styleId="TOC1">
    <w:name w:val="toc 1"/>
    <w:basedOn w:val="Normal"/>
    <w:next w:val="Normal"/>
    <w:autoRedefine/>
    <w:uiPriority w:val="39"/>
    <w:unhideWhenUsed/>
    <w:rsid w:val="00830C9F"/>
    <w:pPr>
      <w:tabs>
        <w:tab w:val="right" w:leader="dot" w:pos="9350"/>
      </w:tabs>
      <w:spacing w:after="100" w:line="240" w:lineRule="auto"/>
      <w:ind w:firstLine="0"/>
    </w:pPr>
    <w:rPr>
      <w:b/>
      <w:noProof/>
    </w:rPr>
  </w:style>
  <w:style w:type="paragraph" w:styleId="TOC2">
    <w:name w:val="toc 2"/>
    <w:basedOn w:val="Normal"/>
    <w:next w:val="Normal"/>
    <w:autoRedefine/>
    <w:uiPriority w:val="39"/>
    <w:unhideWhenUsed/>
    <w:rsid w:val="00174A7F"/>
    <w:pPr>
      <w:tabs>
        <w:tab w:val="right" w:leader="dot" w:pos="9350"/>
      </w:tabs>
      <w:spacing w:after="100" w:line="240" w:lineRule="auto"/>
      <w:ind w:left="360" w:firstLine="0"/>
    </w:pPr>
    <w:rPr>
      <w:noProof/>
    </w:rPr>
  </w:style>
  <w:style w:type="character" w:styleId="Hyperlink">
    <w:name w:val="Hyperlink"/>
    <w:basedOn w:val="DefaultParagraphFont"/>
    <w:uiPriority w:val="99"/>
    <w:unhideWhenUsed/>
    <w:rsid w:val="004959F0"/>
    <w:rPr>
      <w:color w:val="5F5F5F" w:themeColor="hyperlink"/>
      <w:u w:val="single"/>
    </w:rPr>
  </w:style>
  <w:style w:type="paragraph" w:customStyle="1" w:styleId="Image">
    <w:name w:val="Image"/>
    <w:basedOn w:val="Normal"/>
    <w:next w:val="ImageCaption"/>
    <w:autoRedefine/>
    <w:qFormat/>
    <w:rsid w:val="001B5EB9"/>
    <w:pPr>
      <w:pageBreakBefore/>
      <w:spacing w:line="240" w:lineRule="auto"/>
      <w:ind w:firstLine="0"/>
      <w:jc w:val="center"/>
    </w:pPr>
    <w:rPr>
      <w:noProof/>
    </w:rPr>
  </w:style>
  <w:style w:type="paragraph" w:customStyle="1" w:styleId="TOCA">
    <w:name w:val="TOC A"/>
    <w:basedOn w:val="TOC1"/>
    <w:qFormat/>
    <w:rsid w:val="00F142F3"/>
    <w:rPr>
      <w:b w:val="0"/>
    </w:rPr>
  </w:style>
  <w:style w:type="paragraph" w:customStyle="1" w:styleId="TOCA1">
    <w:name w:val="TOC A1"/>
    <w:basedOn w:val="TOC1"/>
    <w:qFormat/>
    <w:rsid w:val="00712E53"/>
  </w:style>
  <w:style w:type="paragraph" w:customStyle="1" w:styleId="TableCaptionNote">
    <w:name w:val="Table Caption Note"/>
    <w:basedOn w:val="BlockQuote"/>
    <w:autoRedefine/>
    <w:qFormat/>
    <w:rsid w:val="00C81BEA"/>
    <w:pPr>
      <w:spacing w:after="0" w:line="240" w:lineRule="auto"/>
      <w:ind w:left="0"/>
    </w:pPr>
    <w:rPr>
      <w: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okinfo.com" TargetMode="External"/><Relationship Id="rId20" Type="http://schemas.openxmlformats.org/officeDocument/2006/relationships/theme" Target="theme/theme1.xml"/><Relationship Id="rId10" Type="http://schemas.openxmlformats.org/officeDocument/2006/relationships/hyperlink" Target="library.pdx.edu" TargetMode="External"/><Relationship Id="rId11" Type="http://schemas.openxmlformats.org/officeDocument/2006/relationships/hyperlink" Target="http://www.scra27.org/publications/tcp/tcp-past-issues/tcpsummer2014/remembering-swampscott/" TargetMode="External"/><Relationship Id="rId12" Type="http://schemas.openxmlformats.org/officeDocument/2006/relationships/hyperlink" Target="http://www.ncdsv.org/images/Coordinated%20Community%20Approaches%20to%20DV.pdf" TargetMode="External"/><Relationship Id="rId13" Type="http://schemas.openxmlformats.org/officeDocument/2006/relationships/hyperlink" Target="http://rqda.r-forge.r-project.org/" TargetMode="External"/><Relationship Id="rId14" Type="http://schemas.openxmlformats.org/officeDocument/2006/relationships/hyperlink" Target="https://www.R-project.org/" TargetMode="External"/><Relationship Id="rId15" Type="http://schemas.openxmlformats.org/officeDocument/2006/relationships/hyperlink" Target="http://www.scra27.org/publications/other-journals-relevant-community-psychology/" TargetMode="External"/><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footer" Target="footer1.xm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scra27.org/what-we-do/practice/practice-council-initatives/theory-action-bulletin/" TargetMode="External"/><Relationship Id="rId8" Type="http://schemas.openxmlformats.org/officeDocument/2006/relationships/hyperlink" Target="http://www.apa.org/pubs/databases/psycinfo/"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scra27.org/"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28</Pages>
  <Words>6457</Words>
  <Characters>36805</Characters>
  <Application>Microsoft Macintosh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A Community Engaged Approach to Address Intimate Partner Violence among Sexual Minority Women</vt:lpstr>
    </vt:vector>
  </TitlesOfParts>
  <Company>Portland State University</Company>
  <LinksUpToDate>false</LinksUpToDate>
  <CharactersWithSpaces>43176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Riley Smith</cp:lastModifiedBy>
  <cp:revision>2</cp:revision>
  <dcterms:created xsi:type="dcterms:W3CDTF">2017-04-21T06:45:00Z</dcterms:created>
  <dcterms:modified xsi:type="dcterms:W3CDTF">2017-04-21T06:47:00Z</dcterms:modified>
</cp:coreProperties>
</file>