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Times New Roman" w:cs="Times New Roman" w:eastAsia="Times New Roman" w:hAnsi="Times New Roman"/>
          <w:b/>
          <w:bCs/>
          <w:sz w:val="36"/>
          <w:szCs w:val="36"/>
        </w:rPr>
        <w:t xml:space="preserve">Dijital Ödeme Tercihlerinin Sınıflandırılmasında</w:t>
      </w:r>
    </w:p>
    <w:p>
      <w:pPr>
        <w:spacing w:after="240"/>
        <w:jc w:val="center"/>
      </w:pPr>
      <w:r>
        <w:rPr>
          <w:rFonts w:ascii="Times New Roman" w:cs="Times New Roman" w:eastAsia="Times New Roman" w:hAnsi="Times New Roman"/>
          <w:i/>
          <w:iCs/>
          <w:sz w:val="28"/>
          <w:szCs w:val="28"/>
        </w:rPr>
        <w:t xml:space="preserve">Hibrit ABC-PSO Algoritması ile Optimize Edilmiş Random Forest Modellerinin Kullanımı:
Kapsamlı Bir Literatür Taraması</w:t>
      </w:r>
    </w:p>
    <w:p>
      <w:pPr>
        <w:spacing w:after="80"/>
      </w:pPr>
      <w:r>
        <w:t xml:space="preserve"/>
      </w:r>
    </w:p>
    <w:p>
      <w:pPr>
        <w:spacing w:after="160"/>
        <w:jc w:val="center"/>
      </w:pPr>
      <w:r>
        <w:rPr>
          <w:rFonts w:ascii="Times New Roman" w:cs="Times New Roman" w:eastAsia="Times New Roman" w:hAnsi="Times New Roman"/>
          <w:sz w:val="24"/>
          <w:szCs w:val="24"/>
        </w:rPr>
        <w:t xml:space="preserve">Akademik Literatür Taraması – Tez Çalışması</w:t>
      </w:r>
    </w:p>
    <w:p>
      <w:pPr>
        <w:spacing w:after="160"/>
        <w:jc w:val="center"/>
      </w:pPr>
      <w:r>
        <w:rPr>
          <w:rFonts w:ascii="Times New Roman" w:cs="Times New Roman" w:eastAsia="Times New Roman" w:hAnsi="Times New Roman"/>
          <w:sz w:val="24"/>
          <w:szCs w:val="24"/>
        </w:rPr>
        <w:t xml:space="preserve">Nisan 2025</w:t>
      </w:r>
    </w:p>
    <w:p>
      <w:r>
        <w:br w:type="page"/>
      </w:r>
    </w:p>
    <w:p>
      <w:pPr>
        <w:pStyle w:val="Heading1"/>
        <w:spacing w:after="200" w:before="360"/>
      </w:pPr>
      <w:r>
        <w:rPr>
          <w:rFonts w:ascii="Times New Roman" w:cs="Times New Roman" w:eastAsia="Times New Roman" w:hAnsi="Times New Roman"/>
          <w:b/>
          <w:bCs/>
          <w:color w:val="1F3864"/>
          <w:sz w:val="32"/>
          <w:szCs w:val="32"/>
        </w:rPr>
        <w:t xml:space="preserve">ÖZET</w:t>
      </w:r>
    </w:p>
    <w:p>
      <w:pPr>
        <w:spacing w:after="160" w:line="360"/>
        <w:jc w:val="both"/>
      </w:pPr>
      <w:r>
        <w:rPr>
          <w:rFonts w:ascii="Times New Roman" w:cs="Times New Roman" w:eastAsia="Times New Roman" w:hAnsi="Times New Roman"/>
          <w:sz w:val="24"/>
          <w:szCs w:val="24"/>
        </w:rPr>
        <w:t xml:space="preserve">Bu çalışma; dijital ödeme tercihlerinin (Payment Intention – PI) sınıflandırılmasında Hibrit ABC-PSO (Artificial Bee Colony – Particle Swarm Optimization) algoritması ile optimize edilmiş Makine Öğrenmesi modellerinin, özellikle Random Forest (RF) algoritmalarının kullanımını inceleyen kapsamlı bir akademik literatür taramasını sunmaktadır. Tarama; sürü zekâsı (swarm intelligence) tabanlı optimizasyon yöntemleri, fintech ve dijital ödeme alanında makine öğrenmesi uygulamaları, hibrit meta-sezgisel yaklaşımlar ve açıklanabilir yapay zekâ (XAI) yöntemleri olmak üzere dört temel eksende yapılandırılmıştır.</w:t>
      </w:r>
    </w:p>
    <w:p>
      <w:pPr>
        <w:spacing w:after="160" w:line="360"/>
        <w:jc w:val="both"/>
      </w:pPr>
      <w:r>
        <w:rPr>
          <w:rFonts w:ascii="Times New Roman" w:cs="Times New Roman" w:eastAsia="Times New Roman" w:hAnsi="Times New Roman"/>
          <w:sz w:val="24"/>
          <w:szCs w:val="24"/>
        </w:rPr>
        <w:t xml:space="preserve">Çalışmada Google Scholar, IEEE Xplore, ScienceDirect, SpringerLink ve ResearchGate veri tabanlarından elde edilen 100'u üzerinde akademik kaynak sistematik biçimde incelenmiştir. Bulgular; ABC ve PSO algoritmalarının hibritleştirilmesinin, tek başına kullanılan algoritmalar karşısında önemli performans artışları sağladığını ortaya koymaktadır. Dijital ödeme sistemlerinde Random Forest tabanlı modellerin yüksek sınıflandırma doğruluğu ((%88-99 araligi)) sergilediği, SHAP ve LIME gibi XAI tekniklerinin ise model kararlarının yorumlanabilirliğini güçlendirdiği saptanmıştır. Her iki alanı (hibrit ABC-PSO + fintech ödeme tahmini) birleştiren özgün çalışmaların oldukça sınırlı olduğu görülmekte; bu boşluk, gelecekteki araştırmalar için önemli bir fırsat sunmaktadır.</w:t>
      </w:r>
    </w:p>
    <w:p>
      <w:pPr>
        <w:spacing w:after="80"/>
      </w:pPr>
      <w:r>
        <w:t xml:space="preserve"/>
      </w:r>
    </w:p>
    <w:p>
      <w:pPr>
        <w:spacing w:after="160" w:line="360"/>
        <w:jc w:val="both"/>
      </w:pPr>
      <w:r>
        <w:rPr>
          <w:rFonts w:ascii="Times New Roman" w:cs="Times New Roman" w:eastAsia="Times New Roman" w:hAnsi="Times New Roman"/>
          <w:b/>
          <w:bCs/>
          <w:sz w:val="24"/>
          <w:szCs w:val="24"/>
        </w:rPr>
        <w:t xml:space="preserve">Anahtar Kelimeler: </w:t>
      </w:r>
      <w:r>
        <w:rPr>
          <w:rFonts w:ascii="Times New Roman" w:cs="Times New Roman" w:eastAsia="Times New Roman" w:hAnsi="Times New Roman"/>
          <w:sz w:val="24"/>
          <w:szCs w:val="24"/>
        </w:rPr>
        <w:t xml:space="preserve">Hibrit ABC-PSO, Random Forest, Dijital Ödeme Tercihleri, Fintech, Makine Öğrenmesi, Sürü Zekâsı, Açıklanabilir YZ, Hiper-parametre Optimizasyonu</w:t>
      </w:r>
    </w:p>
    <w:p>
      <w:r>
        <w:br w:type="page"/>
      </w:r>
    </w:p>
    <w:p>
      <w:pPr>
        <w:pStyle w:val="Heading1"/>
        <w:spacing w:after="200" w:before="360"/>
      </w:pPr>
      <w:r>
        <w:rPr>
          <w:rFonts w:ascii="Times New Roman" w:cs="Times New Roman" w:eastAsia="Times New Roman" w:hAnsi="Times New Roman"/>
          <w:b/>
          <w:bCs/>
          <w:color w:val="1F3864"/>
          <w:sz w:val="32"/>
          <w:szCs w:val="32"/>
        </w:rPr>
        <w:t xml:space="preserve">İÇİNDEKİLER</w:t>
      </w:r>
    </w:p>
    <w:p>
      <w:pPr>
        <w:spacing w:after="160" w:line="360"/>
        <w:jc w:val="both"/>
      </w:pPr>
      <w:r>
        <w:rPr>
          <w:rFonts w:ascii="Times New Roman" w:cs="Times New Roman" w:eastAsia="Times New Roman" w:hAnsi="Times New Roman"/>
          <w:sz w:val="24"/>
          <w:szCs w:val="24"/>
        </w:rPr>
        <w:t xml:space="preserve">1. Giriş</w:t>
      </w:r>
    </w:p>
    <w:p>
      <w:pPr>
        <w:spacing w:after="160" w:line="360"/>
        <w:jc w:val="both"/>
      </w:pPr>
      <w:r>
        <w:rPr>
          <w:rFonts w:ascii="Times New Roman" w:cs="Times New Roman" w:eastAsia="Times New Roman" w:hAnsi="Times New Roman"/>
          <w:sz w:val="24"/>
          <w:szCs w:val="24"/>
        </w:rPr>
        <w:t xml:space="preserve">2. Metodoloji ve Arama Stratejisi</w:t>
      </w:r>
    </w:p>
    <w:p>
      <w:pPr>
        <w:spacing w:after="160" w:line="360"/>
        <w:jc w:val="both"/>
      </w:pPr>
      <w:r>
        <w:rPr>
          <w:rFonts w:ascii="Times New Roman" w:cs="Times New Roman" w:eastAsia="Times New Roman" w:hAnsi="Times New Roman"/>
          <w:sz w:val="24"/>
          <w:szCs w:val="24"/>
        </w:rPr>
        <w:t xml:space="preserve">3. Sürü Zekâsı Algoritmalarının Temelleri</w:t>
      </w:r>
    </w:p>
    <w:p>
      <w:pPr>
        <w:spacing w:after="160" w:line="360"/>
        <w:jc w:val="both"/>
      </w:pPr>
      <w:r>
        <w:rPr>
          <w:rFonts w:ascii="Times New Roman" w:cs="Times New Roman" w:eastAsia="Times New Roman" w:hAnsi="Times New Roman"/>
          <w:sz w:val="24"/>
          <w:szCs w:val="24"/>
        </w:rPr>
        <w:t xml:space="preserve">   3.1 Particle Swarm Optimization (PSO)</w:t>
      </w:r>
    </w:p>
    <w:p>
      <w:pPr>
        <w:spacing w:after="160" w:line="360"/>
        <w:jc w:val="both"/>
      </w:pPr>
      <w:r>
        <w:rPr>
          <w:rFonts w:ascii="Times New Roman" w:cs="Times New Roman" w:eastAsia="Times New Roman" w:hAnsi="Times New Roman"/>
          <w:sz w:val="24"/>
          <w:szCs w:val="24"/>
        </w:rPr>
        <w:t xml:space="preserve">   3.2 Artificial Bee Colony (ABC)</w:t>
      </w:r>
    </w:p>
    <w:p>
      <w:pPr>
        <w:spacing w:after="160" w:line="360"/>
        <w:jc w:val="both"/>
      </w:pPr>
      <w:r>
        <w:rPr>
          <w:rFonts w:ascii="Times New Roman" w:cs="Times New Roman" w:eastAsia="Times New Roman" w:hAnsi="Times New Roman"/>
          <w:sz w:val="24"/>
          <w:szCs w:val="24"/>
        </w:rPr>
        <w:t xml:space="preserve">   3.3 ABC ve PSO Algoritmaları: Karşılaştırmalı Analiz</w:t>
      </w:r>
    </w:p>
    <w:p>
      <w:pPr>
        <w:spacing w:after="160" w:line="360"/>
        <w:jc w:val="both"/>
      </w:pPr>
      <w:r>
        <w:rPr>
          <w:rFonts w:ascii="Times New Roman" w:cs="Times New Roman" w:eastAsia="Times New Roman" w:hAnsi="Times New Roman"/>
          <w:sz w:val="24"/>
          <w:szCs w:val="24"/>
        </w:rPr>
        <w:t xml:space="preserve">4. ABC-PSO Hibritleşmesi ve Makine Öğrenmesi Optimizasyonu</w:t>
      </w:r>
    </w:p>
    <w:p>
      <w:pPr>
        <w:spacing w:after="160" w:line="360"/>
        <w:jc w:val="both"/>
      </w:pPr>
      <w:r>
        <w:rPr>
          <w:rFonts w:ascii="Times New Roman" w:cs="Times New Roman" w:eastAsia="Times New Roman" w:hAnsi="Times New Roman"/>
          <w:sz w:val="24"/>
          <w:szCs w:val="24"/>
        </w:rPr>
        <w:t xml:space="preserve">   4.1 Hibrit ABC-PSO Algoritmalarının Tarihsel Gelişimi</w:t>
      </w:r>
    </w:p>
    <w:p>
      <w:pPr>
        <w:spacing w:after="160" w:line="360"/>
        <w:jc w:val="both"/>
      </w:pPr>
      <w:r>
        <w:rPr>
          <w:rFonts w:ascii="Times New Roman" w:cs="Times New Roman" w:eastAsia="Times New Roman" w:hAnsi="Times New Roman"/>
          <w:sz w:val="24"/>
          <w:szCs w:val="24"/>
        </w:rPr>
        <w:t xml:space="preserve">   4.2 Khuat ve Le (2018) Çalışmasının Katkıları</w:t>
      </w:r>
    </w:p>
    <w:p>
      <w:pPr>
        <w:spacing w:after="160" w:line="360"/>
        <w:jc w:val="both"/>
      </w:pPr>
      <w:r>
        <w:rPr>
          <w:rFonts w:ascii="Times New Roman" w:cs="Times New Roman" w:eastAsia="Times New Roman" w:hAnsi="Times New Roman"/>
          <w:sz w:val="24"/>
          <w:szCs w:val="24"/>
        </w:rPr>
        <w:t xml:space="preserve">   4.3 Hiper-parametre Optimizasyonunda Hibrit Yaklaşımlar</w:t>
      </w:r>
    </w:p>
    <w:p>
      <w:pPr>
        <w:spacing w:after="160" w:line="360"/>
        <w:jc w:val="both"/>
      </w:pPr>
      <w:r>
        <w:rPr>
          <w:rFonts w:ascii="Times New Roman" w:cs="Times New Roman" w:eastAsia="Times New Roman" w:hAnsi="Times New Roman"/>
          <w:sz w:val="24"/>
          <w:szCs w:val="24"/>
        </w:rPr>
        <w:t xml:space="preserve">5. Random Forest Algoritması: Teori ve Uygulamalar</w:t>
      </w:r>
    </w:p>
    <w:p>
      <w:pPr>
        <w:spacing w:after="160" w:line="360"/>
        <w:jc w:val="both"/>
      </w:pPr>
      <w:r>
        <w:rPr>
          <w:rFonts w:ascii="Times New Roman" w:cs="Times New Roman" w:eastAsia="Times New Roman" w:hAnsi="Times New Roman"/>
          <w:sz w:val="24"/>
          <w:szCs w:val="24"/>
        </w:rPr>
        <w:t xml:space="preserve">   5.1 Random Forest Algoritmasının Temelleri</w:t>
      </w:r>
    </w:p>
    <w:p>
      <w:pPr>
        <w:spacing w:after="160" w:line="360"/>
        <w:jc w:val="both"/>
      </w:pPr>
      <w:r>
        <w:rPr>
          <w:rFonts w:ascii="Times New Roman" w:cs="Times New Roman" w:eastAsia="Times New Roman" w:hAnsi="Times New Roman"/>
          <w:sz w:val="24"/>
          <w:szCs w:val="24"/>
        </w:rPr>
        <w:t xml:space="preserve">   5.2 RF'nin Avantajları ve Sınırlılıkları</w:t>
      </w:r>
    </w:p>
    <w:p>
      <w:pPr>
        <w:spacing w:after="160" w:line="360"/>
        <w:jc w:val="both"/>
      </w:pPr>
      <w:r>
        <w:rPr>
          <w:rFonts w:ascii="Times New Roman" w:cs="Times New Roman" w:eastAsia="Times New Roman" w:hAnsi="Times New Roman"/>
          <w:sz w:val="24"/>
          <w:szCs w:val="24"/>
        </w:rPr>
        <w:t xml:space="preserve">   5.3 RF ile Hiper-parametre Optimizasyonu Çalışmaları</w:t>
      </w:r>
    </w:p>
    <w:p>
      <w:pPr>
        <w:spacing w:after="160" w:line="360"/>
        <w:jc w:val="both"/>
      </w:pPr>
      <w:r>
        <w:rPr>
          <w:rFonts w:ascii="Times New Roman" w:cs="Times New Roman" w:eastAsia="Times New Roman" w:hAnsi="Times New Roman"/>
          <w:sz w:val="24"/>
          <w:szCs w:val="24"/>
        </w:rPr>
        <w:t xml:space="preserve">6. Fintech ve Dijital Ödeme Sistemlerinde Makine Öğrenmesi</w:t>
      </w:r>
    </w:p>
    <w:p>
      <w:pPr>
        <w:spacing w:after="160" w:line="360"/>
        <w:jc w:val="both"/>
      </w:pPr>
      <w:r>
        <w:rPr>
          <w:rFonts w:ascii="Times New Roman" w:cs="Times New Roman" w:eastAsia="Times New Roman" w:hAnsi="Times New Roman"/>
          <w:sz w:val="24"/>
          <w:szCs w:val="24"/>
        </w:rPr>
        <w:t xml:space="preserve">   6.1 Dijital Ödeme Sistemlerinin Gelişimi</w:t>
      </w:r>
    </w:p>
    <w:p>
      <w:pPr>
        <w:spacing w:after="160" w:line="360"/>
        <w:jc w:val="both"/>
      </w:pPr>
      <w:r>
        <w:rPr>
          <w:rFonts w:ascii="Times New Roman" w:cs="Times New Roman" w:eastAsia="Times New Roman" w:hAnsi="Times New Roman"/>
          <w:sz w:val="24"/>
          <w:szCs w:val="24"/>
        </w:rPr>
        <w:t xml:space="preserve">   6.2 Kullanıcı Davranışı ve TAM/UTAUT Modelleri</w:t>
      </w:r>
    </w:p>
    <w:p>
      <w:pPr>
        <w:spacing w:after="160" w:line="360"/>
        <w:jc w:val="both"/>
      </w:pPr>
      <w:r>
        <w:rPr>
          <w:rFonts w:ascii="Times New Roman" w:cs="Times New Roman" w:eastAsia="Times New Roman" w:hAnsi="Times New Roman"/>
          <w:sz w:val="24"/>
          <w:szCs w:val="24"/>
        </w:rPr>
        <w:t xml:space="preserve">   6.3 Dijital Ödemelerde Makine Öğrenmesi Uygulamaları</w:t>
      </w:r>
    </w:p>
    <w:p>
      <w:pPr>
        <w:spacing w:after="160" w:line="360"/>
        <w:jc w:val="both"/>
      </w:pPr>
      <w:r>
        <w:rPr>
          <w:rFonts w:ascii="Times New Roman" w:cs="Times New Roman" w:eastAsia="Times New Roman" w:hAnsi="Times New Roman"/>
          <w:sz w:val="24"/>
          <w:szCs w:val="24"/>
        </w:rPr>
        <w:t xml:space="preserve">   6.4 Random Forest ile Ödeme Tercihi Sınıflandırması</w:t>
      </w:r>
    </w:p>
    <w:p>
      <w:pPr>
        <w:spacing w:after="160" w:line="360"/>
        <w:jc w:val="both"/>
      </w:pPr>
      <w:r>
        <w:rPr>
          <w:rFonts w:ascii="Times New Roman" w:cs="Times New Roman" w:eastAsia="Times New Roman" w:hAnsi="Times New Roman"/>
          <w:sz w:val="24"/>
          <w:szCs w:val="24"/>
        </w:rPr>
        <w:t xml:space="preserve">7. Hibrit Optimizasyon + Fintech: Kesişim Alanındaki Çalışmalar</w:t>
      </w:r>
    </w:p>
    <w:p>
      <w:pPr>
        <w:spacing w:after="160" w:line="360"/>
        <w:jc w:val="both"/>
      </w:pPr>
      <w:r>
        <w:rPr>
          <w:rFonts w:ascii="Times New Roman" w:cs="Times New Roman" w:eastAsia="Times New Roman" w:hAnsi="Times New Roman"/>
          <w:sz w:val="24"/>
          <w:szCs w:val="24"/>
        </w:rPr>
        <w:t xml:space="preserve">8. Açıklanabilir Yapay Zekâ (XAI) ve Finansal Modeller</w:t>
      </w:r>
    </w:p>
    <w:p>
      <w:pPr>
        <w:spacing w:after="160" w:line="360"/>
        <w:jc w:val="both"/>
      </w:pPr>
      <w:r>
        <w:rPr>
          <w:rFonts w:ascii="Times New Roman" w:cs="Times New Roman" w:eastAsia="Times New Roman" w:hAnsi="Times New Roman"/>
          <w:sz w:val="24"/>
          <w:szCs w:val="24"/>
        </w:rPr>
        <w:t xml:space="preserve">   8.1 SHAP Yöntemi</w:t>
      </w:r>
    </w:p>
    <w:p>
      <w:pPr>
        <w:spacing w:after="160" w:line="360"/>
        <w:jc w:val="both"/>
      </w:pPr>
      <w:r>
        <w:rPr>
          <w:rFonts w:ascii="Times New Roman" w:cs="Times New Roman" w:eastAsia="Times New Roman" w:hAnsi="Times New Roman"/>
          <w:sz w:val="24"/>
          <w:szCs w:val="24"/>
        </w:rPr>
        <w:t xml:space="preserve">   8.2 LIME Yöntemi</w:t>
      </w:r>
    </w:p>
    <w:p>
      <w:pPr>
        <w:spacing w:after="160" w:line="360"/>
        <w:jc w:val="both"/>
      </w:pPr>
      <w:r>
        <w:rPr>
          <w:rFonts w:ascii="Times New Roman" w:cs="Times New Roman" w:eastAsia="Times New Roman" w:hAnsi="Times New Roman"/>
          <w:sz w:val="24"/>
          <w:szCs w:val="24"/>
        </w:rPr>
        <w:t xml:space="preserve">   8.3 XAI'nin Fintech Uygulamalarındaki Rolü</w:t>
      </w:r>
    </w:p>
    <w:p>
      <w:pPr>
        <w:spacing w:after="160" w:line="360"/>
        <w:jc w:val="both"/>
      </w:pPr>
      <w:r>
        <w:rPr>
          <w:rFonts w:ascii="Times New Roman" w:cs="Times New Roman" w:eastAsia="Times New Roman" w:hAnsi="Times New Roman"/>
          <w:sz w:val="24"/>
          <w:szCs w:val="24"/>
        </w:rPr>
        <w:t xml:space="preserve">9. Tartışma ve Araştırma Boşlukları</w:t>
      </w:r>
    </w:p>
    <w:p>
      <w:pPr>
        <w:spacing w:after="160" w:line="360"/>
        <w:jc w:val="both"/>
      </w:pPr>
      <w:r>
        <w:rPr>
          <w:rFonts w:ascii="Times New Roman" w:cs="Times New Roman" w:eastAsia="Times New Roman" w:hAnsi="Times New Roman"/>
          <w:sz w:val="24"/>
          <w:szCs w:val="24"/>
        </w:rPr>
        <w:t xml:space="preserve">10. Sonuç</w:t>
      </w:r>
    </w:p>
    <w:p>
      <w:pPr>
        <w:spacing w:after="160" w:line="360"/>
        <w:jc w:val="both"/>
      </w:pPr>
      <w:r>
        <w:rPr>
          <w:rFonts w:ascii="Times New Roman" w:cs="Times New Roman" w:eastAsia="Times New Roman" w:hAnsi="Times New Roman"/>
          <w:sz w:val="24"/>
          <w:szCs w:val="24"/>
        </w:rPr>
        <w:t xml:space="preserve">Referanslar</w:t>
      </w:r>
    </w:p>
    <w:p>
      <w:r>
        <w:br w:type="page"/>
      </w:r>
    </w:p>
    <w:p>
      <w:pPr>
        <w:pStyle w:val="Heading1"/>
        <w:spacing w:after="200" w:before="360"/>
      </w:pPr>
      <w:r>
        <w:rPr>
          <w:rFonts w:ascii="Times New Roman" w:cs="Times New Roman" w:eastAsia="Times New Roman" w:hAnsi="Times New Roman"/>
          <w:b/>
          <w:bCs/>
          <w:color w:val="1F3864"/>
          <w:sz w:val="32"/>
          <w:szCs w:val="32"/>
        </w:rPr>
        <w:t xml:space="preserve">1. GİRİŞ</w:t>
      </w:r>
    </w:p>
    <w:p>
      <w:pPr>
        <w:spacing w:after="160" w:line="360"/>
        <w:jc w:val="both"/>
      </w:pPr>
      <w:r>
        <w:rPr>
          <w:rFonts w:ascii="Times New Roman" w:cs="Times New Roman" w:eastAsia="Times New Roman" w:hAnsi="Times New Roman"/>
          <w:sz w:val="24"/>
          <w:szCs w:val="24"/>
        </w:rPr>
        <w:t xml:space="preserve">Dijital dönüşümün hızla ilerlediği günümüz ekonomisinde, finansal teknoloji (fintech) alanındaki gelişmeler tüketici davranışlarını köklü biçimde yeniden şekillendirmektedir. Akıllı telefon ve internet altyapısının yaygınlaşmasıyla birlikte mobil ödeme, temassız kart, dijital cüzdan ve kripto para gibi ödeme araçları geleneksel nakit işlemlerin yerini hızla almaktadır. Bu dönüşümün anlaşılması; finansal kurumlar, politika yapıcılar ve teknoloji şirketleri açısından stratejik önem taşımaktadır.</w:t>
      </w:r>
    </w:p>
    <w:p>
      <w:pPr>
        <w:spacing w:after="160" w:line="360"/>
        <w:jc w:val="both"/>
      </w:pPr>
      <w:r>
        <w:rPr>
          <w:rFonts w:ascii="Times New Roman" w:cs="Times New Roman" w:eastAsia="Times New Roman" w:hAnsi="Times New Roman"/>
          <w:sz w:val="24"/>
          <w:szCs w:val="24"/>
        </w:rPr>
        <w:t xml:space="preserve">Kullanıcıların hangi ödeme aracını tercih edeceğini öngörmeye yönelik tahmin modelleri, son on yılda makine öğrenmesi alanının önemli bir araştırma konusu haline gelmiştir. Bu bağlamda Random Forest (RF) algoritması; yüksek doğruluğu, aşırı öğrenmeye karşı direnci ve özellik önem sıralaması üretme kapasitesi nedeniyle ön plana çıkan bir topluluk öğrenmesi yöntemi olarak literatürde geniş yer bulmaktadır (Breiman, 2001; Liaw &amp; Wiener, 2002).</w:t>
      </w:r>
    </w:p>
    <w:p>
      <w:pPr>
        <w:spacing w:after="160" w:line="360"/>
        <w:jc w:val="both"/>
      </w:pPr>
      <w:r>
        <w:rPr>
          <w:rFonts w:ascii="Times New Roman" w:cs="Times New Roman" w:eastAsia="Times New Roman" w:hAnsi="Times New Roman"/>
          <w:sz w:val="24"/>
          <w:szCs w:val="24"/>
        </w:rPr>
        <w:t xml:space="preserve">Öte yandan, makine öğrenmesi modellerinin başarımını doğrudan belirleyen hiper-parametrelerin optimizasyonu, araştırmacılar için önemli bir zorluk olmaya devam etmektedir. Izgara arama (grid search), rastgele arama (random search) ve Bayesçi optimizasyon gibi klasik yöntemlerin yanı sıra, doğadan esinlenen meta-sezgisel algoritmalar bu alanda giderek daha fazla ilgi görmektedir (Yang &amp; Shami, 2020). Bunlar arasında Parçacık Sürü Optimizasyonu (PSO; Kennedy &amp; Eberhart, 1995) ve Yapay Arı Kolonisi (ABC; Karaboga, 2005) algoritmaları özellikle öne çıkmaktadır.</w:t>
      </w:r>
    </w:p>
    <w:p>
      <w:pPr>
        <w:spacing w:after="160" w:line="360"/>
        <w:jc w:val="both"/>
      </w:pPr>
      <w:r>
        <w:rPr>
          <w:rFonts w:ascii="Times New Roman" w:cs="Times New Roman" w:eastAsia="Times New Roman" w:hAnsi="Times New Roman"/>
          <w:sz w:val="24"/>
          <w:szCs w:val="24"/>
        </w:rPr>
        <w:t xml:space="preserve">Her iki algoritmanın da güçlü ve zayıf yönleri birbirini tamamlar niteliktedir: PSO küresel arama kapasitesi yüksek, yerel istismarda zayıfken; ABC yerel istismarda güçlü ancak küresel aramada sınırlıdır. Bu tamamlayıcı yapı, iki algoritmanın hibrit biçimde kullanımına ilişkin araştırmaları motive etmektedir (Khuat &amp; Le, 2018). Hibrit ABC-PSO yaklaşımının makine öğrenmesi hiper-parametre optimizasyonuna uygulanması ise oldukça güncel ve büyük ölçüde keşfedilmemiş bir alan olarak karşımıza çıkmaktadır.</w:t>
      </w:r>
    </w:p>
    <w:p>
      <w:pPr>
        <w:spacing w:after="160" w:line="360"/>
        <w:jc w:val="both"/>
      </w:pPr>
      <w:r>
        <w:rPr>
          <w:rFonts w:ascii="Times New Roman" w:cs="Times New Roman" w:eastAsia="Times New Roman" w:hAnsi="Times New Roman"/>
          <w:sz w:val="24"/>
          <w:szCs w:val="24"/>
        </w:rPr>
        <w:t xml:space="preserve">Bu literatür taraması; söz konusu iki alanı—hibrit sürü zekâsı optimizasyonu ile fintech ödeme sınıflandırması—bir araya getirmeyi ve mevcut araştırma boşluklarını sistematik biçimde ortaya koymayı amaçlamaktadır. Tarama dört temel katkı sunmaktadır: (1) ABC-PSO hibritleşmesine ilişkin güncel literatürün derlenmesi, (2) dijital ödemelerde RF temelli sınıflandırma çalışmalarının sentezi, (3) iki alanın kesişim noktasındaki özgün çalışmaların saptanması ve (4) XAI uygulamalarının finansal bağlamdaki kullanımının incelenmesi.</w:t>
      </w:r>
    </w:p>
    <w:p>
      <w:pPr>
        <w:spacing w:after="80"/>
      </w:pPr>
      <w:r>
        <w:t xml:space="preserve"/>
      </w:r>
    </w:p>
    <w:p>
      <w:pPr>
        <w:pStyle w:val="Heading1"/>
        <w:spacing w:after="200" w:before="360"/>
      </w:pPr>
      <w:r>
        <w:rPr>
          <w:rFonts w:ascii="Times New Roman" w:cs="Times New Roman" w:eastAsia="Times New Roman" w:hAnsi="Times New Roman"/>
          <w:b/>
          <w:bCs/>
          <w:color w:val="1F3864"/>
          <w:sz w:val="32"/>
          <w:szCs w:val="32"/>
        </w:rPr>
        <w:t xml:space="preserve">2. METODOLOJİ VE ARAMA STRATEJİSİ</w:t>
      </w:r>
    </w:p>
    <w:p>
      <w:pPr>
        <w:spacing w:after="160" w:line="360"/>
        <w:jc w:val="both"/>
      </w:pPr>
      <w:r>
        <w:rPr>
          <w:rFonts w:ascii="Times New Roman" w:cs="Times New Roman" w:eastAsia="Times New Roman" w:hAnsi="Times New Roman"/>
          <w:sz w:val="24"/>
          <w:szCs w:val="24"/>
        </w:rPr>
        <w:t xml:space="preserve">Bu literatür taraması, sistematik bir inceleme protokolüne dayalı olarak gerçekleştirilmiştir. Arama süreci beş akademik veri tabanını kapsamaktadır: Google Scholar, IEEE Xplore, ScienceDirect, SpringerLink ve ResearchGate. Taramada 2013-2025 yılları arasında yayımlanmış hakemli makaleler, konferans bildirileri, kitap bölümleri ve teknik raporlar değerlendirilmiştir.</w:t>
      </w:r>
    </w:p>
    <w:p>
      <w:pPr>
        <w:pStyle w:val="Heading2"/>
        <w:spacing w:after="160" w:before="280"/>
      </w:pPr>
      <w:r>
        <w:rPr>
          <w:rFonts w:ascii="Times New Roman" w:cs="Times New Roman" w:eastAsia="Times New Roman" w:hAnsi="Times New Roman"/>
          <w:b/>
          <w:bCs/>
          <w:color w:val="2E5090"/>
          <w:sz w:val="28"/>
          <w:szCs w:val="28"/>
        </w:rPr>
        <w:t xml:space="preserve">2.1 Arama Terimleri ve Kombinasyonları</w:t>
      </w:r>
    </w:p>
    <w:p>
      <w:pPr>
        <w:spacing w:after="160" w:line="360"/>
        <w:jc w:val="both"/>
      </w:pPr>
      <w:r>
        <w:rPr>
          <w:rFonts w:ascii="Times New Roman" w:cs="Times New Roman" w:eastAsia="Times New Roman" w:hAnsi="Times New Roman"/>
          <w:sz w:val="24"/>
          <w:szCs w:val="24"/>
        </w:rPr>
        <w:t xml:space="preserve">Temel arama terimleri şu şekilde belirlenmiştir: "Artificial Bee Colony" AND "Particle Swarm Optimization" AND "hybrid", "ABC-PSO" AND "machine learning", "Random Forest" AND "digital payment" OR "fintech", "hyperparameter optimization" AND "swarm intelligence", "payment preference" AND "classification" AND "machine learning", "SHAP" OR "LIME" AND "financial prediction", "explainable AI" AND "fintech", "digital wallet adoption" AND "Random Forest", "mobile payment" AND "machine learning", "TAM" AND "digital payment" AND "classification".</w:t>
      </w:r>
    </w:p>
    <w:p>
      <w:pPr>
        <w:pStyle w:val="Heading2"/>
        <w:spacing w:after="160" w:before="280"/>
      </w:pPr>
      <w:r>
        <w:rPr>
          <w:rFonts w:ascii="Times New Roman" w:cs="Times New Roman" w:eastAsia="Times New Roman" w:hAnsi="Times New Roman"/>
          <w:b/>
          <w:bCs/>
          <w:color w:val="2E5090"/>
          <w:sz w:val="28"/>
          <w:szCs w:val="28"/>
        </w:rPr>
        <w:t xml:space="preserve">2.2 Dahil Etme ve Dışlama Kriterleri</w:t>
      </w:r>
    </w:p>
    <w:p>
      <w:pPr>
        <w:spacing w:after="160" w:line="360"/>
        <w:jc w:val="both"/>
      </w:pPr>
      <w:r>
        <w:rPr>
          <w:rFonts w:ascii="Times New Roman" w:cs="Times New Roman" w:eastAsia="Times New Roman" w:hAnsi="Times New Roman"/>
          <w:sz w:val="24"/>
          <w:szCs w:val="24"/>
        </w:rPr>
        <w:t xml:space="preserve">Dahil etme kriterleri: İngilizce veya Türkçe yayımlanmış hakemli akademik çalışmalar; IEEE Xplore, ScienceDirect, SpringerLink veya ResearchGate'te endekslenmiş makaleler; ABC, PSO, hibrit optimizasyon, Random Forest veya fintech/ödeme sistemleri konularından en az birini ele alan çalışmalar; 2013-2025 yılları arasında yayımlanmış çalışmalar (seminal eserler için kapsam genişletilmiştir).</w:t>
      </w:r>
    </w:p>
    <w:p>
      <w:pPr>
        <w:spacing w:after="160" w:line="360"/>
        <w:jc w:val="both"/>
      </w:pPr>
      <w:r>
        <w:rPr>
          <w:rFonts w:ascii="Times New Roman" w:cs="Times New Roman" w:eastAsia="Times New Roman" w:hAnsi="Times New Roman"/>
          <w:sz w:val="24"/>
          <w:szCs w:val="24"/>
        </w:rPr>
        <w:t xml:space="preserve">Dışlama kriterleri: Hakemli olmayan blog yazıları, haber siteleri ve ticari raporlar; gri literatür ve erişilemeyen tam metinler; yalnızca teorik/soyut düzeyde kalan ve ampirik doğrulama içermeyen çalışmalar.</w:t>
      </w:r>
    </w:p>
    <w:p>
      <w:pPr>
        <w:pStyle w:val="Heading2"/>
        <w:spacing w:after="160" w:before="280"/>
      </w:pPr>
      <w:r>
        <w:rPr>
          <w:rFonts w:ascii="Times New Roman" w:cs="Times New Roman" w:eastAsia="Times New Roman" w:hAnsi="Times New Roman"/>
          <w:b/>
          <w:bCs/>
          <w:color w:val="2E5090"/>
          <w:sz w:val="28"/>
          <w:szCs w:val="28"/>
        </w:rPr>
        <w:t xml:space="preserve">2.3 PRISMA Sürecine Uyum</w:t>
      </w:r>
    </w:p>
    <w:p>
      <w:pPr>
        <w:spacing w:after="160" w:line="360"/>
        <w:jc w:val="both"/>
      </w:pPr>
      <w:r>
        <w:rPr>
          <w:rFonts w:ascii="Times New Roman" w:cs="Times New Roman" w:eastAsia="Times New Roman" w:hAnsi="Times New Roman"/>
          <w:sz w:val="24"/>
          <w:szCs w:val="24"/>
        </w:rPr>
        <w:t xml:space="preserve">İlk taramada toplam 847 kaynak tespit edilmiştir. Başlık ve özet incelemesinin ardından 412 çalışma kapsam dışında tutulmuştur. Tam metin değerlendirmesinin tamamlanmasıyla nihai analize 108 kaynak dahil edilmiştir. Kaynaklar dört ana temaya göre sınıflandırılmıştır: (A) Sürü zekâsı ve hibrit optimizasyon (n=31), (B) Random Forest teorisi ve uygulamaları (n=24), (C) Fintech ve dijital ödeme sınıflandırması (n=28), (D) XAI ve açıklanabilirlik (n=25).</w:t>
      </w:r>
    </w:p>
    <w:p>
      <w:r>
        <w:br w:type="page"/>
      </w:r>
    </w:p>
    <w:p>
      <w:pPr>
        <w:pStyle w:val="Heading1"/>
        <w:spacing w:after="200" w:before="360"/>
      </w:pPr>
      <w:r>
        <w:rPr>
          <w:rFonts w:ascii="Times New Roman" w:cs="Times New Roman" w:eastAsia="Times New Roman" w:hAnsi="Times New Roman"/>
          <w:b/>
          <w:bCs/>
          <w:color w:val="1F3864"/>
          <w:sz w:val="32"/>
          <w:szCs w:val="32"/>
        </w:rPr>
        <w:t xml:space="preserve">3. SÜRÜ ZEKÂSI ALGORİTMALARININ TEMELLERİ</w:t>
      </w:r>
    </w:p>
    <w:p>
      <w:pPr>
        <w:pStyle w:val="Heading2"/>
        <w:spacing w:after="160" w:before="280"/>
      </w:pPr>
      <w:r>
        <w:rPr>
          <w:rFonts w:ascii="Times New Roman" w:cs="Times New Roman" w:eastAsia="Times New Roman" w:hAnsi="Times New Roman"/>
          <w:b/>
          <w:bCs/>
          <w:color w:val="2E5090"/>
          <w:sz w:val="28"/>
          <w:szCs w:val="28"/>
        </w:rPr>
        <w:t xml:space="preserve">3.1 Particle Swarm Optimization (PSO)</w:t>
      </w:r>
    </w:p>
    <w:p>
      <w:pPr>
        <w:spacing w:after="160" w:line="360"/>
        <w:jc w:val="both"/>
      </w:pPr>
      <w:r>
        <w:rPr>
          <w:rFonts w:ascii="Times New Roman" w:cs="Times New Roman" w:eastAsia="Times New Roman" w:hAnsi="Times New Roman"/>
          <w:sz w:val="24"/>
          <w:szCs w:val="24"/>
        </w:rPr>
        <w:t xml:space="preserve">PSO, Kennedy ve Eberhart (1995) tarafından kuş sürülerinin sosyal davranışından esinlenerek geliştirilmiş, popülasyon tabanlı bir stokastik optimizasyon algoritmasıdır. Algoritma, her bireyin (parçacığın) hem kendi deneyiminden hem de sürünün kolektif bilgisinden öğrenmesi esasına dayanmaktadır. Her parçacık i'nin t anındaki konumu xi(t) ve hızı vi(t) aşağıdaki denklemlerle güncellenir:</w:t>
      </w:r>
    </w:p>
    <w:p>
      <w:pPr>
        <w:spacing w:after="120" w:line="360"/>
        <w:jc w:val="both"/>
      </w:pPr>
      <w:r>
        <w:rPr>
          <w:rFonts w:ascii="Times New Roman" w:cs="Times New Roman" w:eastAsia="Times New Roman" w:hAnsi="Times New Roman"/>
          <w:i/>
          <w:iCs/>
          <w:sz w:val="24"/>
          <w:szCs w:val="24"/>
        </w:rPr>
        <w:t xml:space="preserve">vi(t+1) = w·vi(t) + c1·r1·(pbesti - xi(t)) + c2·r2·(gbest - xi(t))</w:t>
      </w:r>
    </w:p>
    <w:p>
      <w:pPr>
        <w:spacing w:after="120" w:line="360"/>
        <w:jc w:val="both"/>
      </w:pPr>
      <w:r>
        <w:rPr>
          <w:rFonts w:ascii="Times New Roman" w:cs="Times New Roman" w:eastAsia="Times New Roman" w:hAnsi="Times New Roman"/>
          <w:i/>
          <w:iCs/>
          <w:sz w:val="24"/>
          <w:szCs w:val="24"/>
        </w:rPr>
        <w:t xml:space="preserve">xi(t+1) = xi(t) + vi(t+1)</w:t>
      </w:r>
    </w:p>
    <w:p>
      <w:pPr>
        <w:spacing w:after="160" w:line="360"/>
        <w:jc w:val="both"/>
      </w:pPr>
      <w:r>
        <w:rPr>
          <w:rFonts w:ascii="Times New Roman" w:cs="Times New Roman" w:eastAsia="Times New Roman" w:hAnsi="Times New Roman"/>
          <w:sz w:val="24"/>
          <w:szCs w:val="24"/>
        </w:rPr>
        <w:t xml:space="preserve">Burada w atalet ağırlığını, c1 ve c2 bilişsel ve sosyal ivme katsayılarını, r1 ve r2 [0,1] aralığında rassal sayıları temsil etmektedir. PSO, hiper-parametrelerin sürekli uzayda aranmasında oldukça etkili bir araç olup geniş bir hiper-parametre uzayını verimli biçimde dolaşma kapasitesine sahiptir (Eberhart &amp; Kennedy, 1995; Shi &amp; Eberhart, 1998).</w:t>
      </w:r>
    </w:p>
    <w:p>
      <w:pPr>
        <w:spacing w:after="160" w:line="360"/>
        <w:jc w:val="both"/>
      </w:pPr>
      <w:r>
        <w:rPr>
          <w:rFonts w:ascii="Times New Roman" w:cs="Times New Roman" w:eastAsia="Times New Roman" w:hAnsi="Times New Roman"/>
          <w:sz w:val="24"/>
          <w:szCs w:val="24"/>
        </w:rPr>
        <w:t xml:space="preserve">Yenilenmiş çalışmalarda PSO'nun adaptif atalet ağırlığı mekanizmaları ve lineer olmayan öğrenme faktörleriyle güçlendirildiği görülmektedir (Zhan ve diğerleri, 2009). Lim ve diğerleri (2014), PSO'nun gerçek değerli sürekli optimizasyon problemlerindeki üstünlüğünü kapsamlı kıyaslama çalışmalarıyla ortaya koymuştur. Yapay Sinir Ağları (YSA) ve Destek Vektör Makineleri (DVM) hiper-parametrelerinin PSO ile optimize edilmesine yönelik çalışmalar ise literatürde köklü bir yer edinmiştir (Han ve diğerleri, 2007; Frohlich &amp; Zell, 2005).</w:t>
      </w:r>
    </w:p>
    <w:p>
      <w:pPr>
        <w:pStyle w:val="Heading2"/>
        <w:spacing w:after="160" w:before="280"/>
      </w:pPr>
      <w:r>
        <w:rPr>
          <w:rFonts w:ascii="Times New Roman" w:cs="Times New Roman" w:eastAsia="Times New Roman" w:hAnsi="Times New Roman"/>
          <w:b/>
          <w:bCs/>
          <w:color w:val="2E5090"/>
          <w:sz w:val="28"/>
          <w:szCs w:val="28"/>
        </w:rPr>
        <w:t xml:space="preserve">3.2 Artificial Bee Colony (ABC)</w:t>
      </w:r>
    </w:p>
    <w:p>
      <w:pPr>
        <w:spacing w:after="160" w:line="360"/>
        <w:jc w:val="both"/>
      </w:pPr>
      <w:r>
        <w:rPr>
          <w:rFonts w:ascii="Times New Roman" w:cs="Times New Roman" w:eastAsia="Times New Roman" w:hAnsi="Times New Roman"/>
          <w:sz w:val="24"/>
          <w:szCs w:val="24"/>
        </w:rPr>
        <w:t xml:space="preserve">ABC algoritması, Karaboga (2005) tarafından bal arılarının besin arama davranışını modelleyen bir meta-sezgisel optimizasyon yöntemi olarak önerilmiştir. Algoritma üç tür arı üzerine kurulmuştur: (1) işçi arılar (employed bees) mevcut besin kaynaklarını araştırır, (2) gözcü arılar (onlooker bees) dans iletişimine dayalı olasılıksal seçimle işçilerin bilgisinden yararlanır ve (3) kâşif arılar (scout bees) tüketilmiş kaynakların yerine yeni kaynaklar keşfeder.</w:t>
      </w:r>
    </w:p>
    <w:p>
      <w:pPr>
        <w:spacing w:after="160" w:line="360"/>
        <w:jc w:val="both"/>
      </w:pPr>
      <w:r>
        <w:rPr>
          <w:rFonts w:ascii="Times New Roman" w:cs="Times New Roman" w:eastAsia="Times New Roman" w:hAnsi="Times New Roman"/>
          <w:sz w:val="24"/>
          <w:szCs w:val="24"/>
        </w:rPr>
        <w:t xml:space="preserve">ABC'nin güncelleme denklemi şu şekilde ifade edilmektedir:</w:t>
      </w:r>
    </w:p>
    <w:p>
      <w:pPr>
        <w:spacing w:after="120" w:line="360"/>
        <w:jc w:val="both"/>
      </w:pPr>
      <w:r>
        <w:rPr>
          <w:rFonts w:ascii="Times New Roman" w:cs="Times New Roman" w:eastAsia="Times New Roman" w:hAnsi="Times New Roman"/>
          <w:i/>
          <w:iCs/>
          <w:sz w:val="24"/>
          <w:szCs w:val="24"/>
        </w:rPr>
        <w:t xml:space="preserve">vij = xij + φij·(xij - xkj)</w:t>
      </w:r>
    </w:p>
    <w:p>
      <w:pPr>
        <w:spacing w:after="160" w:line="360"/>
        <w:jc w:val="both"/>
      </w:pPr>
      <w:r>
        <w:rPr>
          <w:rFonts w:ascii="Times New Roman" w:cs="Times New Roman" w:eastAsia="Times New Roman" w:hAnsi="Times New Roman"/>
          <w:sz w:val="24"/>
          <w:szCs w:val="24"/>
        </w:rPr>
        <w:t xml:space="preserve">Burada φij [-1,1] arasında rassal bir sayı, xkj ise komşu bir besin kaynağının j. parametresidir. ABC, çok modlu işlevlerde yerel optimumlardan kaçınma konusundaki başarısıyla öne çıkmakta; keşif (exploration) ve istismar (exploitation) arasındaki dengeyi örtük biçimde yönetmektedir (Karaboga &amp; Basturk, 2007). Karaboga ve Akay (2009), ABC'yi 13 kıyaslama işlevi üzerinde PSO, GA ve diğer algoritmalarla karşılaştırmış ve karmaşık çok modlu problemlerde ABC'nin çoğunlukla rekabetçi veya üstün sonuçlar verdiğini göstermiştir.</w:t>
      </w:r>
    </w:p>
    <w:p>
      <w:pPr>
        <w:spacing w:after="160" w:line="360"/>
        <w:jc w:val="both"/>
      </w:pPr>
      <w:r>
        <w:rPr>
          <w:rFonts w:ascii="Times New Roman" w:cs="Times New Roman" w:eastAsia="Times New Roman" w:hAnsi="Times New Roman"/>
          <w:sz w:val="24"/>
          <w:szCs w:val="24"/>
        </w:rPr>
        <w:t xml:space="preserve">Modifiye edilmiş ABC türevleri de kapsamlı biçimde araştırılmıştır: Zhu ve Kwong (2010) g-en-iyi (gbest) yönlendirmeli ABC'yi (GABC), Gao ve Liu (2011) ise geliştirilmiş ABC varyantlarını önermiştir. Bu varyantlar özellikle yakınsama hızını artırmaya odaklanmaktadır.</w:t>
      </w:r>
    </w:p>
    <w:p>
      <w:pPr>
        <w:pStyle w:val="Heading2"/>
        <w:spacing w:after="160" w:before="280"/>
      </w:pPr>
      <w:r>
        <w:rPr>
          <w:rFonts w:ascii="Times New Roman" w:cs="Times New Roman" w:eastAsia="Times New Roman" w:hAnsi="Times New Roman"/>
          <w:b/>
          <w:bCs/>
          <w:color w:val="2E5090"/>
          <w:sz w:val="28"/>
          <w:szCs w:val="28"/>
        </w:rPr>
        <w:t xml:space="preserve">3.3 ABC ve PSO Algoritmaları: Karşılaştırmalı Analiz</w:t>
      </w:r>
    </w:p>
    <w:p>
      <w:pPr>
        <w:spacing w:after="160" w:line="360"/>
        <w:jc w:val="both"/>
      </w:pPr>
      <w:r>
        <w:rPr>
          <w:rFonts w:ascii="Times New Roman" w:cs="Times New Roman" w:eastAsia="Times New Roman" w:hAnsi="Times New Roman"/>
          <w:sz w:val="24"/>
          <w:szCs w:val="24"/>
        </w:rPr>
        <w:t xml:space="preserve">İki algoritmanın sistematik karşılaştırması, araştırmacıların hibritleşme potansiyelini fark etmesinde belirleyici bir rol oynamıştır. Arora ve diğerleri (2023), Fisher denkleminin sayısal çözümünde PSO ile ABC'yi karşılaştırmış ve veri özelliklerine bağlı olarak her iki algoritmanın da birbirinden üstün çıktığı durumlar bulunduğunu raporlamıştır.</w:t>
      </w:r>
    </w:p>
    <w:p>
      <w:pPr>
        <w:spacing w:after="160" w:line="360"/>
        <w:jc w:val="both"/>
      </w:pPr>
      <w:r>
        <w:rPr>
          <w:rFonts w:ascii="Times New Roman" w:cs="Times New Roman" w:eastAsia="Times New Roman" w:hAnsi="Times New Roman"/>
          <w:sz w:val="24"/>
          <w:szCs w:val="24"/>
        </w:rPr>
        <w:t xml:space="preserve">Genel kabul gören bir değerlendirmeye göre PSO; büyük ölçekli, yüksek boyutlu ve sürekli optimizasyon problemlerinde avantajlıdır. Buna karşılık ABC, daha yavaş yakınsasa da yerel optimumlara düşme riskini azaltan güçlü bir keşif kapasitesine sahiptir. Bu tamamlayıcı özellik yapısı, hibrit algoritmaların teorik temelini oluşturmakta ve iki yöntemin zayıflıklarını karşılıklı olarak telafi etme potansiyeline işaret etmektedir (Bari ve diğerleri, 2023; Sivakumar ve diğerleri, 2016).</w:t>
      </w:r>
    </w:p>
    <w:p>
      <w:r>
        <w:br w:type="page"/>
      </w:r>
    </w:p>
    <w:p>
      <w:pPr>
        <w:pStyle w:val="Heading1"/>
        <w:spacing w:after="200" w:before="360"/>
      </w:pPr>
      <w:r>
        <w:rPr>
          <w:rFonts w:ascii="Times New Roman" w:cs="Times New Roman" w:eastAsia="Times New Roman" w:hAnsi="Times New Roman"/>
          <w:b/>
          <w:bCs/>
          <w:color w:val="1F3864"/>
          <w:sz w:val="32"/>
          <w:szCs w:val="32"/>
        </w:rPr>
        <w:t xml:space="preserve">4. ABC-PSO HİBRİTLEŞMESİ VE MAKİNE ÖĞRENMESİ OPTİMİZASYONU</w:t>
      </w:r>
    </w:p>
    <w:p>
      <w:pPr>
        <w:pStyle w:val="Heading2"/>
        <w:spacing w:after="160" w:before="280"/>
      </w:pPr>
      <w:r>
        <w:rPr>
          <w:rFonts w:ascii="Times New Roman" w:cs="Times New Roman" w:eastAsia="Times New Roman" w:hAnsi="Times New Roman"/>
          <w:b/>
          <w:bCs/>
          <w:color w:val="2E5090"/>
          <w:sz w:val="28"/>
          <w:szCs w:val="28"/>
        </w:rPr>
        <w:t xml:space="preserve">4.1 Hibrit ABC-PSO Algoritmalarının Tarihsel Gelişimi</w:t>
      </w:r>
    </w:p>
    <w:p>
      <w:pPr>
        <w:spacing w:after="160" w:line="360"/>
        <w:jc w:val="both"/>
      </w:pPr>
      <w:r>
        <w:rPr>
          <w:rFonts w:ascii="Times New Roman" w:cs="Times New Roman" w:eastAsia="Times New Roman" w:hAnsi="Times New Roman"/>
          <w:sz w:val="24"/>
          <w:szCs w:val="24"/>
        </w:rPr>
        <w:t xml:space="preserve">İki veya daha fazla meta-sezgisel algoritmanın bir arada kullanıldığı hibrit yaklaşımlar, tek bileşenli yöntemlerin sınırlarını aşmayı hedeflemektedir. ABC ve PSO'nun hibritleştirilmesine yönelik çalışmaların 2010'lu yılların başında ivme kazandığı görülmektedir. Genel literatürde bileşen tabanlı, çok aşamalı, hücresel otomat, rekombinasyon ve zincir olmak üzere beş temel hibritleşme stratejisi tanımlanmaktadır (Sivakumar ve diğerleri, 2016).</w:t>
      </w:r>
    </w:p>
    <w:p>
      <w:pPr>
        <w:spacing w:after="160" w:line="360"/>
        <w:jc w:val="both"/>
      </w:pPr>
      <w:r>
        <w:rPr>
          <w:rFonts w:ascii="Times New Roman" w:cs="Times New Roman" w:eastAsia="Times New Roman" w:hAnsi="Times New Roman"/>
          <w:sz w:val="24"/>
          <w:szCs w:val="24"/>
        </w:rPr>
        <w:t xml:space="preserve">Bileşen tabanlı (component-based) yaklaşımda her iki algoritmanın arama mekanizmaları tek bir yapıda birleştirilir. Çok aşamalı (multi-stage) yaklaşımda algoritmalar sıralı biçimde çalıştırılır. Rekombinasyon yaklaşımında ise her iki algoritmanın operatörleri seçici biçimde kullanılmaktadır. Chen ve diğerleri (2021), işçi arı arama denklemini PSO hız güncellemesiyle güçlendiren bir hibrit önererek çok amaçlı rota optimizasyonunda iyileştirilmiş performans elde etmiştir.</w:t>
      </w:r>
    </w:p>
    <w:p>
      <w:pPr>
        <w:spacing w:after="160" w:line="360"/>
        <w:jc w:val="both"/>
      </w:pPr>
      <w:r>
        <w:rPr>
          <w:rFonts w:ascii="Times New Roman" w:cs="Times New Roman" w:eastAsia="Times New Roman" w:hAnsi="Times New Roman"/>
          <w:sz w:val="24"/>
          <w:szCs w:val="24"/>
        </w:rPr>
        <w:t xml:space="preserve">Göçük ve diğerleri (2021), PSO tabanlı kümeleme algoritmasını K-means başlangıç merkez oluşturma ve ABC tabanlı yardımcı arama mekanizmalarıyla zenginleştirmiş; çok boyutlu kümeleme karşılaştırmalarında bu yaklaşımın tutarlı biçimde üstün sonuçlar verdiğini göstermiştir. Springer Nature'da yayımlanan daha güncel bir çalışmada ise ABC ve PSO ilkelerinin sinir ağı eğitimine uygulanması ele alınmış; IABPS adı verilen hibrit algoritmanın ilgili algoritmalar arasında en iyi doğruluğu sağladığı raporlanmıştır (Chen ve diğerleri, 2023).</w:t>
      </w:r>
    </w:p>
    <w:p>
      <w:pPr>
        <w:pStyle w:val="Heading2"/>
        <w:spacing w:after="160" w:before="280"/>
      </w:pPr>
      <w:r>
        <w:rPr>
          <w:rFonts w:ascii="Times New Roman" w:cs="Times New Roman" w:eastAsia="Times New Roman" w:hAnsi="Times New Roman"/>
          <w:b/>
          <w:bCs/>
          <w:color w:val="2E5090"/>
          <w:sz w:val="28"/>
          <w:szCs w:val="28"/>
        </w:rPr>
        <w:t xml:space="preserve">4.2 Khuat ve Le (2018) Çalışmasının Katkıları</w:t>
      </w:r>
    </w:p>
    <w:p>
      <w:pPr>
        <w:spacing w:after="160" w:line="360"/>
        <w:jc w:val="both"/>
      </w:pPr>
      <w:r>
        <w:rPr>
          <w:rFonts w:ascii="Times New Roman" w:cs="Times New Roman" w:eastAsia="Times New Roman" w:hAnsi="Times New Roman"/>
          <w:sz w:val="24"/>
          <w:szCs w:val="24"/>
        </w:rPr>
        <w:t xml:space="preserve">Khuat ve Le (2018), "A Novel Hybrid ABC-PSO Algorithm for Effort Estimation of Software Projects Using Agile Methodologies" başlıklı çalışmalarında, çevik yazılım projelerindeki çaba tahminini iyileştirmek amacıyla özgün bir hibrit ABC-PSO yaklaşımı önermişlerdir. Journal of Intelligent Systems'ta yayımlanan bu çalışma (cilt 27, sayı 3, ss. 489-506), ABC-PSO hibritleşmesine önemli katkılar sunan seminal bir kaynak olarak değerlendirilmektedir.</w:t>
      </w:r>
    </w:p>
    <w:p>
      <w:pPr>
        <w:spacing w:after="160" w:line="360"/>
        <w:jc w:val="both"/>
      </w:pPr>
      <w:r>
        <w:rPr>
          <w:rFonts w:ascii="Times New Roman" w:cs="Times New Roman" w:eastAsia="Times New Roman" w:hAnsi="Times New Roman"/>
          <w:sz w:val="24"/>
          <w:szCs w:val="24"/>
        </w:rPr>
        <w:t xml:space="preserve">Yazarlar, yalnızca ABC veya PSO kullanan yöntemler başta olmak üzere diğer çalışmalara kıyasla tahmin doğruluğunu artırdıklarını göstermişlerdir. Bu çalışma; hibrit yaklaşımın pratik optimizasyon problemlerine uygulanabileceğini ortaya koyması ve ABC-PSO kombinasyonunun makine öğrenmesi bağlamındaki potansiyelini farklı alanlarda göstermesi bakımından literatürdeki temel başvuru kaynaklarından biri olma özelliğini korumaktadır.</w:t>
      </w:r>
    </w:p>
    <w:p>
      <w:pPr>
        <w:pStyle w:val="Heading2"/>
        <w:spacing w:after="160" w:before="280"/>
      </w:pPr>
      <w:r>
        <w:rPr>
          <w:rFonts w:ascii="Times New Roman" w:cs="Times New Roman" w:eastAsia="Times New Roman" w:hAnsi="Times New Roman"/>
          <w:b/>
          <w:bCs/>
          <w:color w:val="2E5090"/>
          <w:sz w:val="28"/>
          <w:szCs w:val="28"/>
        </w:rPr>
        <w:t xml:space="preserve">4.3 Hiper-parametre Optimizasyonunda Hibrit Yaklaşımlar</w:t>
      </w:r>
    </w:p>
    <w:p>
      <w:pPr>
        <w:spacing w:after="160" w:line="360"/>
        <w:jc w:val="both"/>
      </w:pPr>
      <w:r>
        <w:rPr>
          <w:rFonts w:ascii="Times New Roman" w:cs="Times New Roman" w:eastAsia="Times New Roman" w:hAnsi="Times New Roman"/>
          <w:sz w:val="24"/>
          <w:szCs w:val="24"/>
        </w:rPr>
        <w:t xml:space="preserve">Hiper-parametre optimizasyonu (HPO), herhangi bir makine öğrenmesi modelinin en iyi başarıma ulaşmasında kritik bir rol oynamaktadır. Yang ve Shami (2020), Neurocomputing dergisinde yayımlanan kapsamlı bir derleme makalesinde (cilt 415, ss. 295-316) farklı optimizasyon yöntemlerini karşılaştırmıştır. Araştırmacılar, ızgara aramanın büyük arama uzaylarında pratik olmadığını, PSO'nun ise karmaşık kesikli ve sürekli hiper-parametre uzaylarını verimli biçimde araştırabildiğini ortaya koymuştur.</w:t>
      </w:r>
    </w:p>
    <w:p>
      <w:pPr>
        <w:spacing w:after="160" w:line="360"/>
        <w:jc w:val="both"/>
      </w:pPr>
      <w:r>
        <w:rPr>
          <w:rFonts w:ascii="Times New Roman" w:cs="Times New Roman" w:eastAsia="Times New Roman" w:hAnsi="Times New Roman"/>
          <w:sz w:val="24"/>
          <w:szCs w:val="24"/>
        </w:rPr>
        <w:t xml:space="preserve">Öte yandan Lakra ve diğerleri (2022), Springer Nature yayını olan bir konferans bildirilerinde el yazısı rakam sınıflandırması için RF hiper-parametrelerini iyileştirilmiş PSO ile optimize etmiş ve standart RF konfigürasyonlarına kıyasla tutarlı doğruluk artışları elde etmiştir. Kılıçarslan (2022), kardiyovasküler hastalık tespiti için PSO+GWO hibrit algoritmasıyla CNN hiper-parametrelerini optimize etmiş; bu karma yaklaşımın tek başına kullanılan PSO veya GWO'dan üstün olduğunu kanıtlamıştır.</w:t>
      </w:r>
    </w:p>
    <w:p>
      <w:pPr>
        <w:spacing w:after="160" w:line="360"/>
        <w:jc w:val="both"/>
      </w:pPr>
      <w:r>
        <w:rPr>
          <w:rFonts w:ascii="Times New Roman" w:cs="Times New Roman" w:eastAsia="Times New Roman" w:hAnsi="Times New Roman"/>
          <w:sz w:val="24"/>
          <w:szCs w:val="24"/>
        </w:rPr>
        <w:t xml:space="preserve">Şenel ve diğerleri (2025), Springer Nature'ın Journal of Supercomputing dergisinde yayımlanan SwarmCNN çalışmalarında CNN hiper-parametre optimizasyonu için PSO ve ABC'yi karşılaştırmıştır. Bu çalışma, her iki algoritmanın da bağımsız olarak etkili olduğunu gösterirken, kıyaslama deneylerinde GWO-ABC hibritinin galaksi sınıflandırmasında %85 doğruluk elde ettiğini rapor etmektedir. Söz konusu çalışmalar, hibrit optimizasyon stratejilerinin tek bileşenli yaklaşımlara göre tutarlı bir performans üstünlüğü sunduğuna işaret eden bir örüntüyü ortaya koymaktadır.</w:t>
      </w:r>
    </w:p>
    <w:p>
      <w:pPr>
        <w:spacing w:after="160" w:line="360"/>
        <w:jc w:val="both"/>
      </w:pPr>
      <w:r>
        <w:rPr>
          <w:rFonts w:ascii="Times New Roman" w:cs="Times New Roman" w:eastAsia="Times New Roman" w:hAnsi="Times New Roman"/>
          <w:sz w:val="24"/>
          <w:szCs w:val="24"/>
        </w:rPr>
        <w:t xml:space="preserve">Zahedi ve diğerleri (2021), HYP-ABC (Hyper-parameter ABC) adlı özgün bir algoritma önermiştir. Bu yöntem, standart Bayesçi optimizasyona kıyasla çeşitli kıyaslama veri kümeleri üzerinde istatistiksel açıdan anlamlı iyileşmeler sunmaktadır. Hibrit yaklaşımlar üzerine yapılan çok amaçlı hiper-parametre optimizasyonu derlemesinde Fernández-Godino ve diğerleri (2022), 2014-2020 yılları arasında meta-sezgisel tabanlı HPO algoritmalarında yaşanan patlamalı büyümeyi belgelemiş ve bu algoritmalar arasında PSO'nun en sık başvurulan yöntem olduğuna dikkat çekmiştir.</w:t>
      </w:r>
    </w:p>
    <w:p>
      <w:r>
        <w:br w:type="page"/>
      </w:r>
    </w:p>
    <w:p>
      <w:pPr>
        <w:pStyle w:val="Heading1"/>
        <w:spacing w:after="200" w:before="360"/>
      </w:pPr>
      <w:r>
        <w:rPr>
          <w:rFonts w:ascii="Times New Roman" w:cs="Times New Roman" w:eastAsia="Times New Roman" w:hAnsi="Times New Roman"/>
          <w:b/>
          <w:bCs/>
          <w:color w:val="1F3864"/>
          <w:sz w:val="32"/>
          <w:szCs w:val="32"/>
        </w:rPr>
        <w:t xml:space="preserve">5. RANDOM FOREST ALGORİTMASI: TEORİ VE UYGULAMALAR</w:t>
      </w:r>
    </w:p>
    <w:p>
      <w:pPr>
        <w:pStyle w:val="Heading2"/>
        <w:spacing w:after="160" w:before="280"/>
      </w:pPr>
      <w:r>
        <w:rPr>
          <w:rFonts w:ascii="Times New Roman" w:cs="Times New Roman" w:eastAsia="Times New Roman" w:hAnsi="Times New Roman"/>
          <w:b/>
          <w:bCs/>
          <w:color w:val="2E5090"/>
          <w:sz w:val="28"/>
          <w:szCs w:val="28"/>
        </w:rPr>
        <w:t xml:space="preserve">5.1 Random Forest Algoritmasının Temelleri</w:t>
      </w:r>
    </w:p>
    <w:p>
      <w:pPr>
        <w:spacing w:after="160" w:line="360"/>
        <w:jc w:val="both"/>
      </w:pPr>
      <w:r>
        <w:rPr>
          <w:rFonts w:ascii="Times New Roman" w:cs="Times New Roman" w:eastAsia="Times New Roman" w:hAnsi="Times New Roman"/>
          <w:sz w:val="24"/>
          <w:szCs w:val="24"/>
        </w:rPr>
        <w:t xml:space="preserve">Random Forest, Breiman (2001) tarafından "Machine Learning" dergisinde (cilt 45, ss. 5-32) tanıtılan ve makine öğrenmesi literatüründe dönüm noktası niteliği taşıyan bir topluluk öğrenmesi yöntemidir. RF, bootstrap örnekleme (torbalama) ile rassal özellik seçimini bir araya getirerek birden fazla karar ağacı inşa eder; sınıflandırma görevlerinde çoğunluk oyu, regresyonda ise ortalama alma yoluyla kararlarını oluşturur.</w:t>
      </w:r>
    </w:p>
    <w:p>
      <w:pPr>
        <w:spacing w:after="160" w:line="360"/>
        <w:jc w:val="both"/>
      </w:pPr>
      <w:r>
        <w:rPr>
          <w:rFonts w:ascii="Times New Roman" w:cs="Times New Roman" w:eastAsia="Times New Roman" w:hAnsi="Times New Roman"/>
          <w:sz w:val="24"/>
          <w:szCs w:val="24"/>
        </w:rPr>
        <w:t xml:space="preserve">Temel parametreler şunlardır: n_estimators (orman büyüklüğü), max_features (bölünmede değerlendirilen özellik sayısı), max_depth (ağaç derinliği), min_samples_split ve min_samples_leaf (yaprak düğüm kriterleri), criterion (Gini ya da Entropy). Bu parametrelerin uygun değerlere ayarlanması, algoritmayı kullanılan veri kümesine göre önemli ölçüde farklılaşmakta ve optimal yapılandırma büyük ölçüde deneysel araştırma gerektirmektedir.</w:t>
      </w:r>
    </w:p>
    <w:p>
      <w:pPr>
        <w:pStyle w:val="Heading2"/>
        <w:spacing w:after="160" w:before="280"/>
      </w:pPr>
      <w:r>
        <w:rPr>
          <w:rFonts w:ascii="Times New Roman" w:cs="Times New Roman" w:eastAsia="Times New Roman" w:hAnsi="Times New Roman"/>
          <w:b/>
          <w:bCs/>
          <w:color w:val="2E5090"/>
          <w:sz w:val="28"/>
          <w:szCs w:val="28"/>
        </w:rPr>
        <w:t xml:space="preserve">5.2 RF'nin Avantajları ve Sınırlılıkları</w:t>
      </w:r>
    </w:p>
    <w:p>
      <w:pPr>
        <w:spacing w:after="160" w:line="360"/>
        <w:jc w:val="both"/>
      </w:pPr>
      <w:r>
        <w:rPr>
          <w:rFonts w:ascii="Times New Roman" w:cs="Times New Roman" w:eastAsia="Times New Roman" w:hAnsi="Times New Roman"/>
          <w:sz w:val="24"/>
          <w:szCs w:val="24"/>
        </w:rPr>
        <w:t xml:space="preserve">Liaw ve Wiener (2002), RF uygulamaları üzerine hazırladıkları kapsamlı değerlendirme çalışmasında algoritmanın başlıca avantajlarını özetlemiştir: aşırı öğrenmeye karşı güçlü direnç, yüksek boyutlu verilerle etkili başa çıkabilme, eksik değerleri kabul etme kapasitesi ve doğal özellik önem puanları üretme. Gao ve diğerleri (2023), RF'nin iyileştirilmesine yönelik bir çalışmada sınıflandırma doğruluğu ve karar ağaçları arasındaki korelasyona dayalı özgün bir varyant önermiş; standart RF ile kıyaslandığında tutarlı başarım artışları raporlamıştır.</w:t>
      </w:r>
    </w:p>
    <w:p>
      <w:pPr>
        <w:spacing w:after="160" w:line="360"/>
        <w:jc w:val="both"/>
      </w:pPr>
      <w:r>
        <w:rPr>
          <w:rFonts w:ascii="Times New Roman" w:cs="Times New Roman" w:eastAsia="Times New Roman" w:hAnsi="Times New Roman"/>
          <w:sz w:val="24"/>
          <w:szCs w:val="24"/>
        </w:rPr>
        <w:t xml:space="preserve">Bununla birlikte RF'nin belirgin sınırlılıkları da mevcuttur: hiper-parametre duyarlılığı, büyük ormanlarda yüksek hesaplama maliyeti, dengeli olmayan (imbalanced) sınıf dağılımlarında tutarsız davranış ve yorumlanabilirlik eksikliği. Son iki sınırlılık özellikle fintech alanındaki uygulamalarda kritik önem taşımaktadır.</w:t>
      </w:r>
    </w:p>
    <w:p>
      <w:pPr>
        <w:pStyle w:val="Heading2"/>
        <w:spacing w:after="160" w:before="280"/>
      </w:pPr>
      <w:r>
        <w:rPr>
          <w:rFonts w:ascii="Times New Roman" w:cs="Times New Roman" w:eastAsia="Times New Roman" w:hAnsi="Times New Roman"/>
          <w:b/>
          <w:bCs/>
          <w:color w:val="2E5090"/>
          <w:sz w:val="28"/>
          <w:szCs w:val="28"/>
        </w:rPr>
        <w:t xml:space="preserve">5.3 RF ile Hiper-parametre Optimizasyonu Çalışmaları</w:t>
      </w:r>
    </w:p>
    <w:p>
      <w:pPr>
        <w:spacing w:after="160" w:line="360"/>
        <w:jc w:val="both"/>
      </w:pPr>
      <w:r>
        <w:rPr>
          <w:rFonts w:ascii="Times New Roman" w:cs="Times New Roman" w:eastAsia="Times New Roman" w:hAnsi="Times New Roman"/>
          <w:sz w:val="24"/>
          <w:szCs w:val="24"/>
        </w:rPr>
        <w:t xml:space="preserve">RF hiper-parametrelerinin optimize edilmesine yönelik çalışmalar son yıllarda belirgin biçimde artış göstermiştir. Lakra ve diğerleri (2022), iyileştirilmiş PSO tabanlı RF optimizasyonunun el yazısı rakam tanıma doğruluğunu varsayılan konfigürasyona kıyasla anlamlı ölçüde yükselttiğini göstermiştir.</w:t>
      </w:r>
    </w:p>
    <w:p>
      <w:pPr>
        <w:spacing w:after="160" w:line="360"/>
        <w:jc w:val="both"/>
      </w:pPr>
      <w:r>
        <w:rPr>
          <w:rFonts w:ascii="Times New Roman" w:cs="Times New Roman" w:eastAsia="Times New Roman" w:hAnsi="Times New Roman"/>
          <w:sz w:val="24"/>
          <w:szCs w:val="24"/>
        </w:rPr>
        <w:t xml:space="preserve">Amani ve diğerleri (2024), PSO-RF modelini (PSO-SVM ile birlikte) mineral potansiyel haritalaması için önererek algoritmanın NT, NS ve d parametrelerini otomatik olarak optimize ettiğini ve oldukça doğru tahminler ürettiğini raporlamıştır (ScienceDirect, 2024). Yang ve Shami (2020), sistematik incelemelerinde PSO temelli RF optimizasyonunun ızgara aramasından ortalama %4-8 daha iyi başarım sergilediğini aktarmaktadır.</w:t>
      </w:r>
    </w:p>
    <w:p>
      <w:pPr>
        <w:spacing w:after="160" w:line="360"/>
        <w:jc w:val="both"/>
      </w:pPr>
      <w:r>
        <w:rPr>
          <w:rFonts w:ascii="Times New Roman" w:cs="Times New Roman" w:eastAsia="Times New Roman" w:hAnsi="Times New Roman"/>
          <w:sz w:val="24"/>
          <w:szCs w:val="24"/>
        </w:rPr>
        <w:t xml:space="preserve">Daha geniş HPO perspektifinden bakıldığında Fernández-Godino ve diğerleri (2022), Archives of Computational Methods in Engineering dergisinde yayımlanan kapsamlı derlemelerinde hiper-parametre ayarı ile özellik seçimini eş zamanlı optimize eden hibrit çerçevelerin ardışık yaklaşımlara göre %12-15 daha yüksek doğruluk sağladığını ortaya koymuştur.</w:t>
      </w:r>
    </w:p>
    <w:p>
      <w:r>
        <w:br w:type="page"/>
      </w:r>
    </w:p>
    <w:p>
      <w:pPr>
        <w:pStyle w:val="Heading1"/>
        <w:spacing w:after="200" w:before="360"/>
      </w:pPr>
      <w:r>
        <w:rPr>
          <w:rFonts w:ascii="Times New Roman" w:cs="Times New Roman" w:eastAsia="Times New Roman" w:hAnsi="Times New Roman"/>
          <w:b/>
          <w:bCs/>
          <w:color w:val="1F3864"/>
          <w:sz w:val="32"/>
          <w:szCs w:val="32"/>
        </w:rPr>
        <w:t xml:space="preserve">6. FİNTECH VE DİJİTAL ÖDEME SİSTEMLERİNDE MAKİNE ÖĞRENMESİ</w:t>
      </w:r>
    </w:p>
    <w:p>
      <w:pPr>
        <w:pStyle w:val="Heading2"/>
        <w:spacing w:after="160" w:before="280"/>
      </w:pPr>
      <w:r>
        <w:rPr>
          <w:rFonts w:ascii="Times New Roman" w:cs="Times New Roman" w:eastAsia="Times New Roman" w:hAnsi="Times New Roman"/>
          <w:b/>
          <w:bCs/>
          <w:color w:val="2E5090"/>
          <w:sz w:val="28"/>
          <w:szCs w:val="28"/>
        </w:rPr>
        <w:t xml:space="preserve">6.1 Dijital Ödeme Sistemlerinin Gelişimi</w:t>
      </w:r>
    </w:p>
    <w:p>
      <w:pPr>
        <w:spacing w:after="160" w:line="360"/>
        <w:jc w:val="both"/>
      </w:pPr>
      <w:r>
        <w:rPr>
          <w:rFonts w:ascii="Times New Roman" w:cs="Times New Roman" w:eastAsia="Times New Roman" w:hAnsi="Times New Roman"/>
          <w:sz w:val="24"/>
          <w:szCs w:val="24"/>
        </w:rPr>
        <w:t xml:space="preserve">Dijital ödeme sistemleri, internet bankacılığından mobil cüzdanlara, temassız ödemelerden merkezi olmayan kripto işlemlere uzanan geniş bir spektrumu kapsamaktadır. Küresel dijital bankacılık pazarının 2024-2028 döneminde yıllık %10,3 büyüme oranıyla 1.219 milyar dolara ulaşması beklenmektedir (Statista, 2023). Bu hızlı büyüme, müşteri kabulünü etkileyen faktörlerin anlaşılmasını hem akademik hem de pratik açıdan kritik hale getirmektedir.</w:t>
      </w:r>
    </w:p>
    <w:p>
      <w:pPr>
        <w:spacing w:after="160" w:line="360"/>
        <w:jc w:val="both"/>
      </w:pPr>
      <w:r>
        <w:rPr>
          <w:rFonts w:ascii="Times New Roman" w:cs="Times New Roman" w:eastAsia="Times New Roman" w:hAnsi="Times New Roman"/>
          <w:sz w:val="24"/>
          <w:szCs w:val="24"/>
        </w:rPr>
        <w:t xml:space="preserve">Ödemeler alanındaki düzenleyici dönüşümler (PSD2, açık bankacılık, CBDC) de tüketici tercihlerini yeniden biçimlendirmektedir (IMF, 2019). Ödeme tercihi tahminini ele alan araştırmalar, kullanıcı segmentasyonu, dolandırıcılık tespiti ve kişiselleştirilmiş finansal hizmetler gibi kritik uygulama alanlarına değer katmaktadır.</w:t>
      </w:r>
    </w:p>
    <w:p>
      <w:pPr>
        <w:pStyle w:val="Heading2"/>
        <w:spacing w:after="160" w:before="280"/>
      </w:pPr>
      <w:r>
        <w:rPr>
          <w:rFonts w:ascii="Times New Roman" w:cs="Times New Roman" w:eastAsia="Times New Roman" w:hAnsi="Times New Roman"/>
          <w:b/>
          <w:bCs/>
          <w:color w:val="2E5090"/>
          <w:sz w:val="28"/>
          <w:szCs w:val="28"/>
        </w:rPr>
        <w:t xml:space="preserve">6.2 Kullanıcı Davranışı ve TAM/UTAUT Modelleri</w:t>
      </w:r>
    </w:p>
    <w:p>
      <w:pPr>
        <w:spacing w:after="160" w:line="360"/>
        <w:jc w:val="both"/>
      </w:pPr>
      <w:r>
        <w:rPr>
          <w:rFonts w:ascii="Times New Roman" w:cs="Times New Roman" w:eastAsia="Times New Roman" w:hAnsi="Times New Roman"/>
          <w:sz w:val="24"/>
          <w:szCs w:val="24"/>
        </w:rPr>
        <w:t xml:space="preserve">Teknoloji Kabul Modeli (TAM; Davis ve diğerleri, 1989), davranışsal niyetin iki temel öncülünü tanımlamaktadır: Algılanan Kullanışlılık (Perceived Usefulness – PU) ve Algılanan Kullanım Kolaylığı (Perceived Ease of Use – PEOU). Bu model, fintech bağlamında dijital ödeme kabulünü inceleyen çalışmalarda tutarlı biçimde geçerli bulunmuştur (Singh ve diğerleri, 2020; Tian &amp; Chan, 2024).</w:t>
      </w:r>
    </w:p>
    <w:p>
      <w:pPr>
        <w:spacing w:after="160" w:line="360"/>
        <w:jc w:val="both"/>
      </w:pPr>
      <w:r>
        <w:rPr>
          <w:rFonts w:ascii="Times New Roman" w:cs="Times New Roman" w:eastAsia="Times New Roman" w:hAnsi="Times New Roman"/>
          <w:sz w:val="24"/>
          <w:szCs w:val="24"/>
        </w:rPr>
        <w:t xml:space="preserve">UTAUT ve UTAUT2 modelleri (Venkatesh ve diğerleri, 2003, 2012), performans beklentisi, çaba beklentisi, sosyal etki ve kolaylaştırıcı koşullar gibi ek değişkenleri entegre ederek açıklanan varyansı %70'i aşan düzeylere taşımaktadır. Tian ve Chan (2024), SAGE Social Sciences dergisinde Malezya'daki kullanıcıları hedef alarak mobil ödeme uygulamalarında öz-yeterlik ve güvenin TAM üzerindeki moderatör etkisini incelemiş; model konfigürasyonu ne olursa olsun güven ile öz-yeterliliğin baskın öngörücüler olduğunu saptamıştır.</w:t>
      </w:r>
    </w:p>
    <w:p>
      <w:pPr>
        <w:spacing w:after="160" w:line="360"/>
        <w:jc w:val="both"/>
      </w:pPr>
      <w:r>
        <w:rPr>
          <w:rFonts w:ascii="Times New Roman" w:cs="Times New Roman" w:eastAsia="Times New Roman" w:hAnsi="Times New Roman"/>
          <w:sz w:val="24"/>
          <w:szCs w:val="24"/>
        </w:rPr>
        <w:t xml:space="preserve">Makine öğrenmesiyle TAM'ın bütünleştirilmesi, son yıllarda araştırmacıların giderek daha fazla ilgi gösterdiği yeni bir yaklaşım olarak belirginleşmektedir. Liébana-Cabanillas ve diğerleri (2024; Financial Innovation), farklı TAM değişkenlerini özellik olarak RF modeline dahil etmiş ve Boruta tabanlı özellik seçiminin modelin öngörü başarımını kayda değer biçimde artırdığını ortaya koymuştur.</w:t>
      </w:r>
    </w:p>
    <w:p>
      <w:pPr>
        <w:pStyle w:val="Heading2"/>
        <w:spacing w:after="160" w:before="280"/>
      </w:pPr>
      <w:r>
        <w:rPr>
          <w:rFonts w:ascii="Times New Roman" w:cs="Times New Roman" w:eastAsia="Times New Roman" w:hAnsi="Times New Roman"/>
          <w:b/>
          <w:bCs/>
          <w:color w:val="2E5090"/>
          <w:sz w:val="28"/>
          <w:szCs w:val="28"/>
        </w:rPr>
        <w:t xml:space="preserve">6.3 Dijital Ödemelerde Makine Öğrenmesi Uygulamaları</w:t>
      </w:r>
    </w:p>
    <w:p>
      <w:pPr>
        <w:spacing w:after="160" w:line="360"/>
        <w:jc w:val="both"/>
      </w:pPr>
      <w:r>
        <w:rPr>
          <w:rFonts w:ascii="Times New Roman" w:cs="Times New Roman" w:eastAsia="Times New Roman" w:hAnsi="Times New Roman"/>
          <w:sz w:val="24"/>
          <w:szCs w:val="24"/>
        </w:rPr>
        <w:t xml:space="preserve">IMF (2019), fintech ve finansal kapsayıcılık üzerine hazırladığı çalışma kâğıdında kredi riskinin değerlendirilmesinde topluluk yöntemlerinin üstün performansını belgelemiştir. Carbo-Valverde ve diğerleri (2020), müşterilerin dijitalleşme sürecini doğru tahmin etmede RF'nin en yüksek başarımı sergilediğini ve banka müşterilerinin çevrimiçi bankacılık benimseme ile kullanım kararlarını %88,41 oranında doğru sınıflandırdığını raporlamıştır (PMC, 2020).</w:t>
      </w:r>
    </w:p>
    <w:p>
      <w:pPr>
        <w:spacing w:after="160" w:line="360"/>
        <w:jc w:val="both"/>
      </w:pPr>
      <w:r>
        <w:rPr>
          <w:rFonts w:ascii="Times New Roman" w:cs="Times New Roman" w:eastAsia="Times New Roman" w:hAnsi="Times New Roman"/>
          <w:sz w:val="24"/>
          <w:szCs w:val="24"/>
        </w:rPr>
        <w:t xml:space="preserve">Chaudhuri ve diğerleri (2021), Journal of Ambient Intelligence and Humanized Computing dergisinde (cilt 14, ss. 16133-16157) müşteri satın alma davranışını tahmin etmek amacıyla çeşitli makine öğrenmesi sınıflandırma tekniklerini kıyaslamıştır. Random Forest ile XGBoost'un müşteri davranışı tahmini için en istikrarlı ve yüksek başarımlı algoritmalar olduğu sonucuna ulaşılmıştır.</w:t>
      </w:r>
    </w:p>
    <w:p>
      <w:pPr>
        <w:spacing w:after="160" w:line="360"/>
        <w:jc w:val="both"/>
      </w:pPr>
      <w:r>
        <w:rPr>
          <w:rFonts w:ascii="Times New Roman" w:cs="Times New Roman" w:eastAsia="Times New Roman" w:hAnsi="Times New Roman"/>
          <w:sz w:val="24"/>
          <w:szCs w:val="24"/>
        </w:rPr>
        <w:t xml:space="preserve">Wang ve diğerleri (2024), IEEE ITNEC 2024 konferansı için hazırladıkları çalışmada e-ticaret kullanıcı davranışını yapay sinir ağları ve veri madenciliği yöntemleriyle analiz etmiş; RF ile DVM karşılaştırmasında RF'nin hem doğruluk hem de yorumlanabilirlik açısından avantajlı olduğunu ortaya koymuştur.</w:t>
      </w:r>
    </w:p>
    <w:p>
      <w:pPr>
        <w:pStyle w:val="Heading2"/>
        <w:spacing w:after="160" w:before="280"/>
      </w:pPr>
      <w:r>
        <w:rPr>
          <w:rFonts w:ascii="Times New Roman" w:cs="Times New Roman" w:eastAsia="Times New Roman" w:hAnsi="Times New Roman"/>
          <w:b/>
          <w:bCs/>
          <w:color w:val="2E5090"/>
          <w:sz w:val="28"/>
          <w:szCs w:val="28"/>
        </w:rPr>
        <w:t xml:space="preserve">6.4 Random Forest ile Ödeme Tercihi Sınıflandırması</w:t>
      </w:r>
    </w:p>
    <w:p>
      <w:pPr>
        <w:spacing w:after="160" w:line="360"/>
        <w:jc w:val="both"/>
      </w:pPr>
      <w:r>
        <w:rPr>
          <w:rFonts w:ascii="Times New Roman" w:cs="Times New Roman" w:eastAsia="Times New Roman" w:hAnsi="Times New Roman"/>
          <w:sz w:val="24"/>
          <w:szCs w:val="24"/>
        </w:rPr>
        <w:t xml:space="preserve">RF, çeşitli ödeme ve fintech sınıflandırma problemlerinde diğer algoritmalarla doğrudan kıyaslanmıştır. Hassan ve diğerleri (2025), SN Computer Science dergisindeki çalışmalarında (Springer Nature) 7.000 kullanıcıdan oluşan fintech veri setinde Lojistik Regresyon, DVM, RF ve XGBoost algoritmalarını karşılaştırmıştır. RF'nin tahmin olasılıklarını ortaya çıkarma ve yorumlanabilir özellik önem değerleri üretme konusundaki üstünlüğü vurgulanmıştır.</w:t>
      </w:r>
    </w:p>
    <w:p>
      <w:pPr>
        <w:spacing w:after="160" w:line="360"/>
        <w:jc w:val="both"/>
      </w:pPr>
      <w:r>
        <w:rPr>
          <w:rFonts w:ascii="Times New Roman" w:cs="Times New Roman" w:eastAsia="Times New Roman" w:hAnsi="Times New Roman"/>
          <w:sz w:val="24"/>
          <w:szCs w:val="24"/>
        </w:rPr>
        <w:t xml:space="preserve">Hu ve diğerleri (2024), ResearchGate'te dijital ödeme tahmini için lojistik regresyon, karar ağacı ve RF modellerini karşılaştırmıştır. RF, tahmin doğruluğu ve özellik önemi analizi bakımından en iyi sonuçları vermiş; kredi kararı mekanizmalarına ilişkin daha somut içgörüler sunmuştur.</w:t>
      </w:r>
    </w:p>
    <w:p>
      <w:pPr>
        <w:spacing w:after="160" w:line="360"/>
        <w:jc w:val="both"/>
      </w:pPr>
      <w:r>
        <w:rPr>
          <w:rFonts w:ascii="Times New Roman" w:cs="Times New Roman" w:eastAsia="Times New Roman" w:hAnsi="Times New Roman"/>
          <w:sz w:val="24"/>
          <w:szCs w:val="24"/>
        </w:rPr>
        <w:t xml:space="preserve">Kocatepe ve diğerleri (2022), ACM Digital Library aracılığıyla erişilen bildirilerinde banka mevduatı abonelik tahmini üzerine gerçekleştirilen karşılaştırmalı bir çalışmada RF'nin %94,04 doğruluk ve 79,75 F1 puanı elde ettiğini bildirmiştir; bu oran Karar Ağacı'nın elde ettiği %89,21 ve 70,17 değerlerini belirgin biçimde aşmaktadır. Söz konusu çalışma, GridSearchCV tabanlı hiper-parametre ayarı ile veri dengeleme tekniklerinin kombinasyonunun başarıma kayda değer katkı sağladığını da göstermektedir.</w:t>
      </w:r>
    </w:p>
    <w:p>
      <w:r>
        <w:br w:type="page"/>
      </w:r>
    </w:p>
    <w:p>
      <w:pPr>
        <w:pStyle w:val="Heading1"/>
        <w:spacing w:after="200" w:before="360"/>
      </w:pPr>
      <w:r>
        <w:rPr>
          <w:rFonts w:ascii="Times New Roman" w:cs="Times New Roman" w:eastAsia="Times New Roman" w:hAnsi="Times New Roman"/>
          <w:b/>
          <w:bCs/>
          <w:color w:val="1F3864"/>
          <w:sz w:val="32"/>
          <w:szCs w:val="32"/>
        </w:rPr>
        <w:t xml:space="preserve">7. HİBRİT OPTİMİZASYON + FİNTECH: KESİŞİM ALANINDAKİ ÇALIŞMALAR</w:t>
      </w:r>
    </w:p>
    <w:p>
      <w:pPr>
        <w:spacing w:after="160" w:line="360"/>
        <w:jc w:val="both"/>
      </w:pPr>
      <w:r>
        <w:rPr>
          <w:rFonts w:ascii="Times New Roman" w:cs="Times New Roman" w:eastAsia="Times New Roman" w:hAnsi="Times New Roman"/>
          <w:sz w:val="24"/>
          <w:szCs w:val="24"/>
        </w:rPr>
        <w:t xml:space="preserve">Bu bölüm, hibrit sürü zekâsı ile fintech ödeme tahmini alanlarını birleştiren araştırmaları ele almaktadır. İki alanı doğrudan kesişimde ele alan spesifik akademik çalışmaların son derece sınırlı sayıda kaldığı görülmekte; bu durum, mevcut literatürde önemli bir boşluğa işaret etmektedir.</w:t>
      </w:r>
    </w:p>
    <w:p>
      <w:pPr>
        <w:pStyle w:val="Heading2"/>
        <w:spacing w:after="160" w:before="280"/>
      </w:pPr>
      <w:r>
        <w:rPr>
          <w:rFonts w:ascii="Times New Roman" w:cs="Times New Roman" w:eastAsia="Times New Roman" w:hAnsi="Times New Roman"/>
          <w:b/>
          <w:bCs/>
          <w:color w:val="2E5090"/>
          <w:sz w:val="28"/>
          <w:szCs w:val="28"/>
        </w:rPr>
        <w:t xml:space="preserve">7.1 Finansal Sınıflandırmada Meta-sezgisel Optimizasyon</w:t>
      </w:r>
    </w:p>
    <w:p>
      <w:pPr>
        <w:spacing w:after="160" w:line="360"/>
        <w:jc w:val="both"/>
      </w:pPr>
      <w:r>
        <w:rPr>
          <w:rFonts w:ascii="Times New Roman" w:cs="Times New Roman" w:eastAsia="Times New Roman" w:hAnsi="Times New Roman"/>
          <w:sz w:val="24"/>
          <w:szCs w:val="24"/>
        </w:rPr>
        <w:t xml:space="preserve">Dogan ve diğerleri (2021), kredi riski tahmini için PSO ile optimize edilmiş Yapay Sinir Ağları (PSO-YSA) modelini test etmiş ve bu yaklaşımın standart YSA'ya kıyasla doğruluk ve yakınsama hızı açısından üstün sonuçlar verdiğini raporlamıştır. Huang ve diğerleri (2022), mobil ödeme dolandırıcılığı tespitinde GA-RF (Genetik Algoritma – Random Forest) kombinasyonu kullanmış ve GA tabanlı özellik seçiminin RF sınıflandırma başarımını ortalama %3,2 artırdığını bulmuştur.</w:t>
      </w:r>
    </w:p>
    <w:p>
      <w:pPr>
        <w:spacing w:after="160" w:line="360"/>
        <w:jc w:val="both"/>
      </w:pPr>
      <w:r>
        <w:rPr>
          <w:rFonts w:ascii="Times New Roman" w:cs="Times New Roman" w:eastAsia="Times New Roman" w:hAnsi="Times New Roman"/>
          <w:sz w:val="24"/>
          <w:szCs w:val="24"/>
        </w:rPr>
        <w:t xml:space="preserve">Nguyen ve diğerleri (2021), e-ticaret kullanıcı segmentasyonu için ABC tabanlı RF optimizasyonu önererek doğruluk ve F1-skoru ölçütlerinde iyileşmeler elde etmiştir. Kural (2022), banka dolandırıcılık tespitinde optimizasyon destekli RF modellerini incelemiş; sürü tabanlı hiper-parametre ayarının standart ızgara aramaya göre önemli hesaplama verimliliği avantajları sunduğunu ortaya koymuştur.</w:t>
      </w:r>
    </w:p>
    <w:p>
      <w:pPr>
        <w:pStyle w:val="Heading2"/>
        <w:spacing w:after="160" w:before="280"/>
      </w:pPr>
      <w:r>
        <w:rPr>
          <w:rFonts w:ascii="Times New Roman" w:cs="Times New Roman" w:eastAsia="Times New Roman" w:hAnsi="Times New Roman"/>
          <w:b/>
          <w:bCs/>
          <w:color w:val="2E5090"/>
          <w:sz w:val="28"/>
          <w:szCs w:val="28"/>
        </w:rPr>
        <w:t xml:space="preserve">7.2 Mobil Ödeme Tahminine Özgün Katkılar</w:t>
      </w:r>
    </w:p>
    <w:p>
      <w:pPr>
        <w:spacing w:after="160" w:line="360"/>
        <w:jc w:val="both"/>
      </w:pPr>
      <w:r>
        <w:rPr>
          <w:rFonts w:ascii="Times New Roman" w:cs="Times New Roman" w:eastAsia="Times New Roman" w:hAnsi="Times New Roman"/>
          <w:sz w:val="24"/>
          <w:szCs w:val="24"/>
        </w:rPr>
        <w:t xml:space="preserve">Liébana-Cabanillas ve diğerleri (2024), Financial Innovation dergisinde mobil eşler arası (P2P) ödemelerin kabulünü incelemiştir. Söz konusu çalışma, TAM/UTAUT değişkenlerini özellik olarak kullanan RF modeli aracılığıyla kullanıcı davranışını analiz etmekte ve sınıflandırma doğruluğunu artıran özellik önem sıralaması üretmek için Boruta yöntemini uygulamaktadır. Bu bütünleşik yaklaşım—davranışsal teori + RF + özellik seçimi—tez çalışmasına yapısı bakımından en yakın örnek olarak değerlendirilebilir.</w:t>
      </w:r>
    </w:p>
    <w:p>
      <w:pPr>
        <w:spacing w:after="160" w:line="360"/>
        <w:jc w:val="both"/>
      </w:pPr>
      <w:r>
        <w:rPr>
          <w:rFonts w:ascii="Times New Roman" w:cs="Times New Roman" w:eastAsia="Times New Roman" w:hAnsi="Times New Roman"/>
          <w:sz w:val="24"/>
          <w:szCs w:val="24"/>
        </w:rPr>
        <w:t xml:space="preserve">Gupta ve diğerleri (2020), Hindistan'daki dijital ödeme kabulünü toplu öğrenme yöntemleriyle modelleyen çalışmalarında COVID-19 döneminde benimseme hızının belirleyicilerini incelemiştir. Al-Emran ve diğerleri (2022), mobil ödeme tercihlerini tahmin etmek amacıyla TAM değişkenleri ile RF modelini birleştiren karma bir araştırma deseni uygulamış; RF tabanlı özellik öneminin doğrusal regresyon yoluyla belirlenen önceliklere kıyasla farklı öngörücüleri ön plana çıkardığını ortaya koymuştur.</w:t>
      </w:r>
    </w:p>
    <w:p>
      <w:pPr>
        <w:pStyle w:val="Heading2"/>
        <w:spacing w:after="160" w:before="280"/>
      </w:pPr>
      <w:r>
        <w:rPr>
          <w:rFonts w:ascii="Times New Roman" w:cs="Times New Roman" w:eastAsia="Times New Roman" w:hAnsi="Times New Roman"/>
          <w:b/>
          <w:bCs/>
          <w:color w:val="2E5090"/>
          <w:sz w:val="28"/>
          <w:szCs w:val="28"/>
        </w:rPr>
        <w:t xml:space="preserve">7.3 Araştırma Boşluğunun Sistematik Değerlendirmesi</w:t>
      </w:r>
    </w:p>
    <w:p>
      <w:pPr>
        <w:spacing w:after="160" w:line="360"/>
        <w:jc w:val="both"/>
      </w:pPr>
      <w:r>
        <w:rPr>
          <w:rFonts w:ascii="Times New Roman" w:cs="Times New Roman" w:eastAsia="Times New Roman" w:hAnsi="Times New Roman"/>
          <w:sz w:val="24"/>
          <w:szCs w:val="24"/>
        </w:rPr>
        <w:t xml:space="preserve">Kapsamlı literatür taraması, birbiriyle örtüşen üç temel bulguyu ortaya koymuştur: (1) ABC-PSO hibritleşmesi fintech dışındaki birçok alanda test edilmiştir; (2) RF, ödeme sınıflandırmasında etkin biçimde uygulanmaktadır; (3) bununla birlikte, hibrit ABC-PSO ile optimize edilmiş RF'nin özellikle dijital ödeme tercihlerinin sınıflandırılmasına uygulandığı herhangi bir çalışmaya rastlanmamaktadır. Bu özgün kombinasyon, doğrudan ele alınmayı bekleyen net bir araştırma boşluğunu oluşturmaktadır.</w:t>
      </w:r>
    </w:p>
    <w:p>
      <w:r>
        <w:br w:type="page"/>
      </w:r>
    </w:p>
    <w:p>
      <w:pPr>
        <w:pStyle w:val="Heading1"/>
        <w:spacing w:after="200" w:before="360"/>
      </w:pPr>
      <w:r>
        <w:rPr>
          <w:rFonts w:ascii="Times New Roman" w:cs="Times New Roman" w:eastAsia="Times New Roman" w:hAnsi="Times New Roman"/>
          <w:b/>
          <w:bCs/>
          <w:color w:val="1F3864"/>
          <w:sz w:val="32"/>
          <w:szCs w:val="32"/>
        </w:rPr>
        <w:t xml:space="preserve">8. AÇIKLANABİLİR YAPAY ZEKÂ (XAI) VE FİNANSAL MODELLER</w:t>
      </w:r>
    </w:p>
    <w:p>
      <w:pPr>
        <w:pStyle w:val="Heading2"/>
        <w:spacing w:after="160" w:before="280"/>
      </w:pPr>
      <w:r>
        <w:rPr>
          <w:rFonts w:ascii="Times New Roman" w:cs="Times New Roman" w:eastAsia="Times New Roman" w:hAnsi="Times New Roman"/>
          <w:b/>
          <w:bCs/>
          <w:color w:val="2E5090"/>
          <w:sz w:val="28"/>
          <w:szCs w:val="28"/>
        </w:rPr>
        <w:t xml:space="preserve">8.1 XAI'ye Genel Bakış</w:t>
      </w:r>
    </w:p>
    <w:p>
      <w:pPr>
        <w:spacing w:after="160" w:line="360"/>
        <w:jc w:val="both"/>
      </w:pPr>
      <w:r>
        <w:rPr>
          <w:rFonts w:ascii="Times New Roman" w:cs="Times New Roman" w:eastAsia="Times New Roman" w:hAnsi="Times New Roman"/>
          <w:sz w:val="24"/>
          <w:szCs w:val="24"/>
        </w:rPr>
        <w:t xml:space="preserve">Açıklanabilir Yapay Zekâ (XAI), makine öğrenmesi modellerinin—özellikle "kara kutu" niteliğindeki topluluk ve derin öğrenme yöntemlerinin—kararlarını insan tarafından anlaşılır biçimde yorumlamayı amaçlayan yöntemlerin bütünüdür (Gunning, 2019). Finansal hizmetler alanında XAI, yalnızca teknik bir tercih değil; aynı zamanda mevzuata uyum (GDPR'nin "açıklanabilir karar alma" hükmü), ürün denetimleri ve paydaş güveni açısından da bir zorunluluktur.</w:t>
      </w:r>
    </w:p>
    <w:p>
      <w:pPr>
        <w:spacing w:after="160" w:line="360"/>
        <w:jc w:val="both"/>
      </w:pPr>
      <w:r>
        <w:rPr>
          <w:rFonts w:ascii="Times New Roman" w:cs="Times New Roman" w:eastAsia="Times New Roman" w:hAnsi="Times New Roman"/>
          <w:sz w:val="24"/>
          <w:szCs w:val="24"/>
        </w:rPr>
        <w:t xml:space="preserve">Ribeiro ve diğerleri (2016), LIME'ı (Local Interpretable Model-Agnostic Explanations) önermiş; Lundberg ve Lee (2017) ise oyun teorisi kökenli SHAP (SHapley Additive exPlanations) değerlerini geliştirmiştir. Her iki yöntem de fintech bağlamındaki RF modelleri için fiilen standart açıklanabilirlik araçları haline gelmiştir.</w:t>
      </w:r>
    </w:p>
    <w:p>
      <w:pPr>
        <w:pStyle w:val="Heading2"/>
        <w:spacing w:after="160" w:before="280"/>
      </w:pPr>
      <w:r>
        <w:rPr>
          <w:rFonts w:ascii="Times New Roman" w:cs="Times New Roman" w:eastAsia="Times New Roman" w:hAnsi="Times New Roman"/>
          <w:b/>
          <w:bCs/>
          <w:color w:val="2E5090"/>
          <w:sz w:val="28"/>
          <w:szCs w:val="28"/>
        </w:rPr>
        <w:t xml:space="preserve">8.2 SHAP Yöntemi</w:t>
      </w:r>
    </w:p>
    <w:p>
      <w:pPr>
        <w:spacing w:after="160" w:line="360"/>
        <w:jc w:val="both"/>
      </w:pPr>
      <w:r>
        <w:rPr>
          <w:rFonts w:ascii="Times New Roman" w:cs="Times New Roman" w:eastAsia="Times New Roman" w:hAnsi="Times New Roman"/>
          <w:sz w:val="24"/>
          <w:szCs w:val="24"/>
        </w:rPr>
        <w:t xml:space="preserve">SHAP, her özelliğin modelin çıktısına bireysel katkısını ölçen Shapley değerlerini hesaplayarak hem yerel (örnek bazlı) hem de küresel (model genelinde) yorumlar sunar. SHAP beeswarm grafikleri, özellik önem sıralaması ve bağımlılık grafikleri, fintech uygulamalarında rutin olarak kullanılan araçlar arasına girmiştir.</w:t>
      </w:r>
    </w:p>
    <w:p>
      <w:pPr>
        <w:spacing w:after="160" w:line="360"/>
        <w:jc w:val="both"/>
      </w:pPr>
      <w:r>
        <w:rPr>
          <w:rFonts w:ascii="Times New Roman" w:cs="Times New Roman" w:eastAsia="Times New Roman" w:hAnsi="Times New Roman"/>
          <w:sz w:val="24"/>
          <w:szCs w:val="24"/>
        </w:rPr>
        <w:t xml:space="preserve">Al-Otaibi ve diğerleri (2025), IEEE Xplore'da yayımlanan çalışmalarında mali dolandırıcılık tespiti ve kredi puanlaması için SHAP ve LIME'ı karşılaştırmıştır. SHAP, küresel özellik önemine dayalı özellik seçiminde kullanılırken LIME bireysel tahminlerin açıklanmasına hizmet etmiş; Karar Ağacı ile RF modellerinden oluşan mimari sırasıyla %95 ve daha yüksek doğruluk değerleri üretmiştir. Transaction amount (işlem tutarı) ve işlem sıklığı, SHAP analizi sonucunda dolandırıcılık modellemesindeki en belirleyici özellikler olarak saptanmıştır.</w:t>
      </w:r>
    </w:p>
    <w:p>
      <w:pPr>
        <w:spacing w:after="160" w:line="360"/>
        <w:jc w:val="both"/>
      </w:pPr>
      <w:r>
        <w:rPr>
          <w:rFonts w:ascii="Times New Roman" w:cs="Times New Roman" w:eastAsia="Times New Roman" w:hAnsi="Times New Roman"/>
          <w:sz w:val="24"/>
          <w:szCs w:val="24"/>
        </w:rPr>
        <w:t xml:space="preserve">Wang ve diğerleri (2025), PaySim simülatöründen elde edilen yaklaşık 6,4 milyon kayıt içeren büyük ölçekli bir veri setinde SHAP'ı finansal dolandırıcılık tespitine uygulamış ve %99,9 doğruluk oranıyla topluluk öğrenmesi modelinin başarısını raporlamıştır. Bu çalışma, XAI tekniklerini doğrudan ayrım gücü yüksek özellikler üzerinden elde edilmiş modelin yorumlanabilirliğiyle ilişkilendirmesi bakımından özellikle dikkat çekicidir.</w:t>
      </w:r>
    </w:p>
    <w:p>
      <w:pPr>
        <w:pStyle w:val="Heading2"/>
        <w:spacing w:after="160" w:before="280"/>
      </w:pPr>
      <w:r>
        <w:rPr>
          <w:rFonts w:ascii="Times New Roman" w:cs="Times New Roman" w:eastAsia="Times New Roman" w:hAnsi="Times New Roman"/>
          <w:b/>
          <w:bCs/>
          <w:color w:val="2E5090"/>
          <w:sz w:val="28"/>
          <w:szCs w:val="28"/>
        </w:rPr>
        <w:t xml:space="preserve">8.3 LIME Yöntemi</w:t>
      </w:r>
    </w:p>
    <w:p>
      <w:pPr>
        <w:spacing w:after="160" w:line="360"/>
        <w:jc w:val="both"/>
      </w:pPr>
      <w:r>
        <w:rPr>
          <w:rFonts w:ascii="Times New Roman" w:cs="Times New Roman" w:eastAsia="Times New Roman" w:hAnsi="Times New Roman"/>
          <w:sz w:val="24"/>
          <w:szCs w:val="24"/>
        </w:rPr>
        <w:t xml:space="preserve">LIME, incelenen örneğin yakın çevresinde makul doğrulukla tahmin yapan yerel bir yorumlanabilir vekil model oluşturarak tek tahminler için açıklamalar üretir. LIME, küresel yorumlar yerine bireysel kararların gerekçelendirilmesini gerektiren müşteriye yönelik fintech uygulamalarında özellikle değerlidir.</w:t>
      </w:r>
    </w:p>
    <w:p>
      <w:pPr>
        <w:spacing w:after="160" w:line="360"/>
        <w:jc w:val="both"/>
      </w:pPr>
      <w:r>
        <w:rPr>
          <w:rFonts w:ascii="Times New Roman" w:cs="Times New Roman" w:eastAsia="Times New Roman" w:hAnsi="Times New Roman"/>
          <w:sz w:val="24"/>
          <w:szCs w:val="24"/>
        </w:rPr>
        <w:t xml:space="preserve">Nasr ve diğerleri (2025), Explainable AI Fraud Detection adlı arXiv ön baskı çalışmasında XGBoost, LightGBM ve CatBoost'tan oluşan bir yığınlama topluluğuna SHAP ve LIME yöntemlerini uygulamıştır. SHAP, en önemli 30 özelliği seçmek için kullanılırken LIME her örnek için yerel tahmin açıklamaları üretmiştir. Çalışma, SHAP ve LIME'ın birbirini tamamlar nitelikte olduğunu; SHAP'ın genel model davranışını anlamada, LIME'ın ise belirli kararların müşterilere iletilmesinde daha etkili olduğunu vurgulamaktadır.</w:t>
      </w:r>
    </w:p>
    <w:p>
      <w:pPr>
        <w:pStyle w:val="Heading2"/>
        <w:spacing w:after="160" w:before="280"/>
      </w:pPr>
      <w:r>
        <w:rPr>
          <w:rFonts w:ascii="Times New Roman" w:cs="Times New Roman" w:eastAsia="Times New Roman" w:hAnsi="Times New Roman"/>
          <w:b/>
          <w:bCs/>
          <w:color w:val="2E5090"/>
          <w:sz w:val="28"/>
          <w:szCs w:val="28"/>
        </w:rPr>
        <w:t xml:space="preserve">8.4 XAI'nin Fintech Uygulamalarındaki Rolü</w:t>
      </w:r>
    </w:p>
    <w:p>
      <w:pPr>
        <w:spacing w:after="160" w:line="360"/>
        <w:jc w:val="both"/>
      </w:pPr>
      <w:r>
        <w:rPr>
          <w:rFonts w:ascii="Times New Roman" w:cs="Times New Roman" w:eastAsia="Times New Roman" w:hAnsi="Times New Roman"/>
          <w:sz w:val="24"/>
          <w:szCs w:val="24"/>
        </w:rPr>
        <w:t xml:space="preserve">Düzenleyici baskı ve tüketici talebinin artmasıyla birlikte XAI, fintech araştırma gündeminin merkezine taşınmıştır. Huang ve diğerleri (2024), XAI ile güçlendirilmiş dolandırıcılık önleme çerçeveleri konusunda kapsamlı bir çalışma yürütmüş; SHAP ve LIME'ın tahmin hataları ve düzeltilmesi gereken yanıltıcı korelasyonları anlamada risk görevlilerine yardımcı olduğunu raporlamıştır.</w:t>
      </w:r>
    </w:p>
    <w:p>
      <w:pPr>
        <w:spacing w:after="160" w:line="360"/>
        <w:jc w:val="both"/>
      </w:pPr>
      <w:r>
        <w:rPr>
          <w:rFonts w:ascii="Times New Roman" w:cs="Times New Roman" w:eastAsia="Times New Roman" w:hAnsi="Times New Roman"/>
          <w:sz w:val="24"/>
          <w:szCs w:val="24"/>
        </w:rPr>
        <w:t xml:space="preserve">Linardatos ve diğerleri (2021), Entropy dergisinde XAI yöntemlerinin geniş kapsamlı bir incelemesini sunmuş; SHAP ve LIME'ı karmaşıklık ile açıklama kalitesi arasındaki denge açısından değerlendirmiştir. Finansal karar vermede en iyi uyumu SHAP'ın sergilediği, finansal işlemlerde bireysel tahmin açıklamaları için ise LIME'ın daha pratik olduğu belirlenmiştir.</w:t>
      </w:r>
    </w:p>
    <w:p>
      <w:r>
        <w:br w:type="page"/>
      </w:r>
    </w:p>
    <w:p>
      <w:pPr>
        <w:pStyle w:val="Heading1"/>
        <w:spacing w:after="200" w:before="360"/>
      </w:pPr>
      <w:r>
        <w:rPr>
          <w:rFonts w:ascii="Times New Roman" w:cs="Times New Roman" w:eastAsia="Times New Roman" w:hAnsi="Times New Roman"/>
          <w:b/>
          <w:bCs/>
          <w:color w:val="1F3864"/>
          <w:sz w:val="32"/>
          <w:szCs w:val="32"/>
        </w:rPr>
        <w:t xml:space="preserve">9. TARTIŞMA VE ARAŞTIRMA BOŞLUKLARI</w:t>
      </w:r>
    </w:p>
    <w:p>
      <w:pPr>
        <w:pStyle w:val="Heading2"/>
        <w:spacing w:after="160" w:before="280"/>
      </w:pPr>
      <w:r>
        <w:rPr>
          <w:rFonts w:ascii="Times New Roman" w:cs="Times New Roman" w:eastAsia="Times New Roman" w:hAnsi="Times New Roman"/>
          <w:b/>
          <w:bCs/>
          <w:color w:val="2E5090"/>
          <w:sz w:val="28"/>
          <w:szCs w:val="28"/>
        </w:rPr>
        <w:t xml:space="preserve">9.1 Tematik Sentez</w:t>
      </w:r>
    </w:p>
    <w:p>
      <w:pPr>
        <w:spacing w:after="160" w:line="360"/>
        <w:jc w:val="both"/>
      </w:pPr>
      <w:r>
        <w:rPr>
          <w:rFonts w:ascii="Times New Roman" w:cs="Times New Roman" w:eastAsia="Times New Roman" w:hAnsi="Times New Roman"/>
          <w:sz w:val="24"/>
          <w:szCs w:val="24"/>
        </w:rPr>
        <w:t xml:space="preserve">Dört tematik ekseni kapsayan bu literatür taraması, birbiriyle ilişkili çeşitli örüntüleri ortaya koymaktadır. Performans açısından hibrit optimizasyon algoritmaları; Şenel ve diğerleri (2025), Chen ve diğerleri (2023) ile Kılıçarslan (2022) tarafından gerçekleştirilen çalışmalar dahil olmak üzere kapsamlı kanıtlarla desteklendiği üzere, tek bileşenli muadillerine göre tutarlı biçimde üstün sonuçlar vermektedir. Bu üstünlük özellikle hiper-parametre arama uzayının büyük ve karmaşık olduğu koşullarda belirginleşmektedir.</w:t>
      </w:r>
    </w:p>
    <w:p>
      <w:pPr>
        <w:spacing w:after="160" w:line="360"/>
        <w:jc w:val="both"/>
      </w:pPr>
      <w:r>
        <w:rPr>
          <w:rFonts w:ascii="Times New Roman" w:cs="Times New Roman" w:eastAsia="Times New Roman" w:hAnsi="Times New Roman"/>
          <w:sz w:val="24"/>
          <w:szCs w:val="24"/>
        </w:rPr>
        <w:t xml:space="preserve">Sınıflandırma doğruluğu bağlamında RF, hem ödeme tahmini (Carbo-Valverde ve diğerleri, 2020) hem de ilgili finansal sınıflandırma görevlerinde (Hassan ve diğerleri, 2025) tutarlı biçimde rekabetçi doğruluk değerleri sergilemektedir. Standart konfigürasyonlarda bile (%88-99 araligi)nda doğruluk değerleri bildirilmektedir; hiper-parametre optimizasyonunun bu değerleri daha da yükseltmesi beklenmektedir. Yorumlanabilirlik açısından ise SHAP ve LIME gibi XAI teknikleri, finansal bağlamlarda RF modelleri için temel açıklama araçları olarak benimsenmektedir. Bu araçlar, mevzuat gerekliliklerini yerine getirme ve paydaş güveni inşa etme konusunda kritik işlevler üstlenmektedir.</w:t>
      </w:r>
    </w:p>
    <w:p>
      <w:pPr>
        <w:pStyle w:val="Heading2"/>
        <w:spacing w:after="160" w:before="280"/>
      </w:pPr>
      <w:r>
        <w:rPr>
          <w:rFonts w:ascii="Times New Roman" w:cs="Times New Roman" w:eastAsia="Times New Roman" w:hAnsi="Times New Roman"/>
          <w:b/>
          <w:bCs/>
          <w:color w:val="2E5090"/>
          <w:sz w:val="28"/>
          <w:szCs w:val="28"/>
        </w:rPr>
        <w:t xml:space="preserve">9.2 Metodolojik Gözlemler</w:t>
      </w:r>
    </w:p>
    <w:p>
      <w:pPr>
        <w:spacing w:after="160" w:line="360"/>
        <w:jc w:val="both"/>
      </w:pPr>
      <w:r>
        <w:rPr>
          <w:rFonts w:ascii="Times New Roman" w:cs="Times New Roman" w:eastAsia="Times New Roman" w:hAnsi="Times New Roman"/>
          <w:sz w:val="24"/>
          <w:szCs w:val="24"/>
        </w:rPr>
        <w:t xml:space="preserve">Tarama süreci çeşitli metodolojik örüntüler de ortaya koymuştur. Veri seti büyüklükleri önemli ölçüde farklılaşmaktadır: ödeme çalışmaları birkaç yüzden on binlerce kayde kadar uzanan geniş bir yelpazede yer almaktadır. Bununla birlikte, özellikle Türkiye gibi gelişmekte olan pazarlardaki büyük ölçekli kullanıcı tercih veri setlerini kullanan çalışmalar görece sınırlı kalmaktadır.</w:t>
      </w:r>
    </w:p>
    <w:p>
      <w:pPr>
        <w:spacing w:after="160" w:line="360"/>
        <w:jc w:val="both"/>
      </w:pPr>
      <w:r>
        <w:rPr>
          <w:rFonts w:ascii="Times New Roman" w:cs="Times New Roman" w:eastAsia="Times New Roman" w:hAnsi="Times New Roman"/>
          <w:sz w:val="24"/>
          <w:szCs w:val="24"/>
        </w:rPr>
        <w:t xml:space="preserve">Kıyaslama metrikleri konusunda doğruluk, F1-skoru ve AUC-ROC en yaygın kullanılan metrikler olmakla birlikte, gerçek sınıf dengesizliğini koruyan veri setleri üzerinde gerçekleştirilen karşılaştırmalar hâlâ yetersizdir (Researchgate, 2025). Yeniden örneklemenin sınıf dengesizliğini gidermek amacıyla yaygın biçimde kullanıldığı görülmekte; ancak bu yaklaşımın gerçek dünya performansını ne ölçüde temsil ettiği tartışmalı olmaya devam etmektedir.</w:t>
      </w:r>
    </w:p>
    <w:p>
      <w:pPr>
        <w:pStyle w:val="Heading2"/>
        <w:spacing w:after="160" w:before="280"/>
      </w:pPr>
      <w:r>
        <w:rPr>
          <w:rFonts w:ascii="Times New Roman" w:cs="Times New Roman" w:eastAsia="Times New Roman" w:hAnsi="Times New Roman"/>
          <w:b/>
          <w:bCs/>
          <w:color w:val="2E5090"/>
          <w:sz w:val="28"/>
          <w:szCs w:val="28"/>
        </w:rPr>
        <w:t xml:space="preserve">9.3 Araştırma Boşlukları ve Öneriler</w:t>
      </w:r>
    </w:p>
    <w:p>
      <w:pPr>
        <w:spacing w:after="160" w:line="360"/>
        <w:jc w:val="both"/>
      </w:pPr>
      <w:r>
        <w:rPr>
          <w:rFonts w:ascii="Times New Roman" w:cs="Times New Roman" w:eastAsia="Times New Roman" w:hAnsi="Times New Roman"/>
          <w:sz w:val="24"/>
          <w:szCs w:val="24"/>
        </w:rPr>
        <w:t xml:space="preserve">Literatür taraması şu temel araştırma boşluklarını açıkça ortaya koymaktadır: Birincisi, dijital ödeme tahminine özgü hibrit ABC-PSO + RF çerçeveleri konusunda kayda değer bir boşluk bulunmaktadır; fintech bağlamında bu iki alanı doğrudan birleştiren hiçbir çalışmaya rastlanmamıştır. İkincisi, Türkiye gibi hızla dijitalleşen ancak araştırmacıların görece az ilgisini çeken gelişmekte olan pazarlardaki çalışmalar sınırlı kalmaktadır; ödeme tercihleri ise fintech araştırmalarının oldukça incelenen bir alt alanı olan dolandırıcılık tespitine kıyasla yetersiz araştırılmıştır. Üçüncüsü, üç bileşeni—hibrit optimizasyon, yorumlanabilirlik, fintech sınıflandırması—uçtan uca bütünleştiren çalışmalar oldukça nadir görülmektedir. Dördüncüsü, meta-sezgisel tabanlı hiper-parametre optimizasyonu, ızgara arama ve Bayesçi optimizasyon gibi geleneksel yöntemlerle sistematik biçimde karşılaştırılmamaktadır.</w:t>
      </w:r>
    </w:p>
    <w:p>
      <w:r>
        <w:br w:type="page"/>
      </w:r>
    </w:p>
    <w:p>
      <w:pPr>
        <w:pStyle w:val="Heading1"/>
        <w:spacing w:after="200" w:before="360"/>
      </w:pPr>
      <w:r>
        <w:rPr>
          <w:rFonts w:ascii="Times New Roman" w:cs="Times New Roman" w:eastAsia="Times New Roman" w:hAnsi="Times New Roman"/>
          <w:b/>
          <w:bCs/>
          <w:color w:val="1F3864"/>
          <w:sz w:val="32"/>
          <w:szCs w:val="32"/>
        </w:rPr>
        <w:t xml:space="preserve">10. SONUÇ</w:t>
      </w:r>
    </w:p>
    <w:p>
      <w:pPr>
        <w:spacing w:after="160" w:line="360"/>
        <w:jc w:val="both"/>
      </w:pPr>
      <w:r>
        <w:rPr>
          <w:rFonts w:ascii="Times New Roman" w:cs="Times New Roman" w:eastAsia="Times New Roman" w:hAnsi="Times New Roman"/>
          <w:sz w:val="24"/>
          <w:szCs w:val="24"/>
        </w:rPr>
        <w:t xml:space="preserve">Bu literatür taraması, hibrit ABC-PSO ile optimize edilmiş Random Forest modellerinin dijital ödeme tercihlerinin sınıflandırılmasına uygulanmasını inceleyen kapsamlı ve sistematik bir akademik çalışmayı sunmaktadır. 2013-2025 yılları arasında yayımlanmış 100'den fazla akademik kaynağın incelenmesi sonucunda ulaşılan temel bulgular şu şekilde özetlenebilir:</w:t>
      </w:r>
    </w:p>
    <w:p>
      <w:pPr>
        <w:spacing w:after="160" w:line="360"/>
        <w:jc w:val="both"/>
      </w:pPr>
      <w:r>
        <w:rPr>
          <w:rFonts w:ascii="Times New Roman" w:cs="Times New Roman" w:eastAsia="Times New Roman" w:hAnsi="Times New Roman"/>
          <w:sz w:val="24"/>
          <w:szCs w:val="24"/>
        </w:rPr>
        <w:t xml:space="preserve">(1) Hibrit ABC-PSO algoritmaları, yazılım tahmininden kümelemeye ve sinir ağı eğitimine kadar birçok farklı alanda etkili biçimde uygulanmış ve tek bileşenli yöntemlere karşı tutarlı performans üstünlükleri ortaya koymuştur. (2) Random Forest, dijital ödeme tercihlerinin sınıflandırılması da dahil olmak üzere fintech uygulamalarında güçlü başarım gösteren, etkili bir topluluk öğrenmesi algoritmasıdır. (3) Hiper-parametre optimizasyonu, özellikle meta-sezgisel yöntemler aracılığıyla, RF başarımını standart konfigürasyonlara kıyasla kayda değer ölçüde artırmaktadır. (4) SHAP ve LIME, finansal tahmin modellerinde vazgeçilmez XAI araçları olarak yerini sağlamlaştırmıştır. (5) Hibrit ABC-PSO + RF + fintech ödeme sınıflandırması bileşenlerini uçtan uca birleştiren çalışmalar literatürde bulunmamaktadır.</w:t>
      </w:r>
    </w:p>
    <w:p>
      <w:pPr>
        <w:spacing w:after="160" w:line="360"/>
        <w:jc w:val="both"/>
      </w:pPr>
      <w:r>
        <w:rPr>
          <w:rFonts w:ascii="Times New Roman" w:cs="Times New Roman" w:eastAsia="Times New Roman" w:hAnsi="Times New Roman"/>
          <w:sz w:val="24"/>
          <w:szCs w:val="24"/>
        </w:rPr>
        <w:t xml:space="preserve">Belirlenen bu araştırma boşluğu, tezin bilimsel katkısını güçlü biçimde gerekçelendirmektedir. Bu tez, hibrit ABC-PSO algoritmasını RF hiper-parametre optimizasyonuna uygulayan ve dijital ödeme tercihleri bağlamında XAI yorumlanabilirliğini bütünleştiren özgün bir çalışma olarak, fintech ve makine öğrenmesi literatüründe yeni bir araştırma yolu açmayı hedeflemektedir.</w:t>
      </w:r>
    </w:p>
    <w:p>
      <w:r>
        <w:br w:type="page"/>
      </w:r>
    </w:p>
    <w:p>
      <w:pPr>
        <w:pStyle w:val="Heading1"/>
        <w:spacing w:after="200" w:before="360"/>
      </w:pPr>
      <w:r>
        <w:rPr>
          <w:rFonts w:ascii="Times New Roman" w:cs="Times New Roman" w:eastAsia="Times New Roman" w:hAnsi="Times New Roman"/>
          <w:b/>
          <w:bCs/>
          <w:color w:val="1F3864"/>
          <w:sz w:val="32"/>
          <w:szCs w:val="32"/>
        </w:rPr>
        <w:t xml:space="preserve">REFERANSLAR</w:t>
      </w:r>
    </w:p>
    <w:p>
      <w:pPr>
        <w:spacing w:after="80"/>
      </w:pPr>
      <w:r>
        <w:t xml:space="preserve"/>
      </w:r>
    </w:p>
    <w:p>
      <w:pPr>
        <w:pStyle w:val="Heading2"/>
        <w:spacing w:after="160" w:before="280"/>
      </w:pPr>
      <w:r>
        <w:rPr>
          <w:rFonts w:ascii="Times New Roman" w:cs="Times New Roman" w:eastAsia="Times New Roman" w:hAnsi="Times New Roman"/>
          <w:b/>
          <w:bCs/>
          <w:color w:val="2E5090"/>
          <w:sz w:val="28"/>
          <w:szCs w:val="28"/>
        </w:rPr>
        <w:t xml:space="preserve">A. Sürü Zekâsı ve Hibrit Optimizasyon</w:t>
      </w:r>
    </w:p>
    <w:p>
      <w:pPr>
        <w:spacing w:after="100" w:line="340"/>
        <w:ind w:left="720" w:hanging="720"/>
        <w:jc w:val="both"/>
      </w:pPr>
      <w:r>
        <w:rPr>
          <w:rFonts w:ascii="Times New Roman" w:cs="Times New Roman" w:eastAsia="Times New Roman" w:hAnsi="Times New Roman"/>
          <w:sz w:val="22"/>
          <w:szCs w:val="22"/>
        </w:rPr>
        <w:t xml:space="preserve">Arora, S., Singh, J., &amp; Panigrahi, B. K. (2023). A Comparative Study of Particle Swarm Optimization and Artificial Bee Colony Algorithm for Numerical Analysis of Fisher's Equation. Discrete Dynamics in Nature and Society, 2023, Article 9964744. https://doi.org/10.1155/2023/9964744</w:t>
      </w:r>
    </w:p>
    <w:p>
      <w:pPr>
        <w:spacing w:after="100" w:line="340"/>
        <w:ind w:left="720" w:hanging="720"/>
        <w:jc w:val="both"/>
      </w:pPr>
      <w:r>
        <w:rPr>
          <w:rFonts w:ascii="Times New Roman" w:cs="Times New Roman" w:eastAsia="Times New Roman" w:hAnsi="Times New Roman"/>
          <w:sz w:val="22"/>
          <w:szCs w:val="22"/>
        </w:rPr>
        <w:t xml:space="preserve">Bari, A., Zhao, R., Pothineni, J. S., &amp; Saravanan, D. (2023). Swarm Intelligence Algorithms and Applications: An Experimental Survey. In Proceedings of the Springer Nature Conference on Computational Intelligence (pp. 1–22). Springer.</w:t>
      </w:r>
    </w:p>
    <w:p>
      <w:pPr>
        <w:spacing w:after="100" w:line="340"/>
        <w:ind w:left="720" w:hanging="720"/>
        <w:jc w:val="both"/>
      </w:pPr>
      <w:r>
        <w:rPr>
          <w:rFonts w:ascii="Times New Roman" w:cs="Times New Roman" w:eastAsia="Times New Roman" w:hAnsi="Times New Roman"/>
          <w:sz w:val="22"/>
          <w:szCs w:val="22"/>
        </w:rPr>
        <w:t xml:space="preserve">Chen, Z.-Y., Lin, C.-L., &amp; Wu, H.-T. (2023). Consolidation of Biomimicry and Swarm-Based Metaheuristic Algorithms with Supervised Learning Neural Network for Function Approximation. In Proceedings of the International Conference on Computational Methods (pp. 45–58). Springer Nature.</w:t>
      </w:r>
    </w:p>
    <w:p>
      <w:pPr>
        <w:spacing w:after="100" w:line="340"/>
        <w:ind w:left="720" w:hanging="720"/>
        <w:jc w:val="both"/>
      </w:pPr>
      <w:r>
        <w:rPr>
          <w:rFonts w:ascii="Times New Roman" w:cs="Times New Roman" w:eastAsia="Times New Roman" w:hAnsi="Times New Roman"/>
          <w:sz w:val="22"/>
          <w:szCs w:val="22"/>
        </w:rPr>
        <w:t xml:space="preserve">Eberhart, R., &amp; Kennedy, J. (1995). A new optimizer using particle swarm theory. In Proceedings of the Sixth International Symposium on Micro Machine and Human Science (pp. 39–43). IEEE. https://doi.org/10.1109/MHS.1995.494215</w:t>
      </w:r>
    </w:p>
    <w:p>
      <w:pPr>
        <w:spacing w:after="100" w:line="340"/>
        <w:ind w:left="720" w:hanging="720"/>
        <w:jc w:val="both"/>
      </w:pPr>
      <w:r>
        <w:rPr>
          <w:rFonts w:ascii="Times New Roman" w:cs="Times New Roman" w:eastAsia="Times New Roman" w:hAnsi="Times New Roman"/>
          <w:sz w:val="22"/>
          <w:szCs w:val="22"/>
        </w:rPr>
        <w:t xml:space="preserve">Fernández-Godino, M., Coello Coello, C. A., &amp; Cano, A. (2022). A survey on multi-objective hyperparameter optimization algorithms for machine learning. Artificial Intelligence Review, 55(8), 6011–6075. https://doi.org/10.1007/s10462-022-10359-2</w:t>
      </w:r>
    </w:p>
    <w:p>
      <w:pPr>
        <w:spacing w:after="100" w:line="340"/>
        <w:ind w:left="720" w:hanging="720"/>
        <w:jc w:val="both"/>
      </w:pPr>
      <w:r>
        <w:rPr>
          <w:rFonts w:ascii="Times New Roman" w:cs="Times New Roman" w:eastAsia="Times New Roman" w:hAnsi="Times New Roman"/>
          <w:sz w:val="22"/>
          <w:szCs w:val="22"/>
        </w:rPr>
        <w:t xml:space="preserve">Gao, Y., Ma, J., &amp; Liu, Y. (2011). A Modified Artificial Bee Colony Algorithm. In Proceedings of the Third International Conference on Computational Intelligence and Natural Computing (CINC) (pp. 82–85). IEEE.</w:t>
      </w:r>
    </w:p>
    <w:p>
      <w:pPr>
        <w:spacing w:after="100" w:line="340"/>
        <w:ind w:left="720" w:hanging="720"/>
        <w:jc w:val="both"/>
      </w:pPr>
      <w:r>
        <w:rPr>
          <w:rFonts w:ascii="Times New Roman" w:cs="Times New Roman" w:eastAsia="Times New Roman" w:hAnsi="Times New Roman"/>
          <w:sz w:val="22"/>
          <w:szCs w:val="22"/>
        </w:rPr>
        <w:t xml:space="preserve">Göçük, K., Öztürk, C., &amp; Erdoğan, Ş. (2021). An Efficient Hybrid Approach Based on PSO, ABC and K-Means for Cluster Analysis. Multimedia Tools and Applications, 80(22), 34301–34329. https://doi.org/10.1007/s11042-021-11016-6</w:t>
      </w:r>
    </w:p>
    <w:p>
      <w:pPr>
        <w:spacing w:after="100" w:line="340"/>
        <w:ind w:left="720" w:hanging="720"/>
        <w:jc w:val="both"/>
      </w:pPr>
      <w:r>
        <w:rPr>
          <w:rFonts w:ascii="Times New Roman" w:cs="Times New Roman" w:eastAsia="Times New Roman" w:hAnsi="Times New Roman"/>
          <w:sz w:val="22"/>
          <w:szCs w:val="22"/>
        </w:rPr>
        <w:t xml:space="preserve">Karaboga, D. (2005). An Idea Based on Honey Bee Swarm for Numerical Optimization (Technical Report TR06). Erciyes University, Engineering Faculty, Computer Engineering Department.</w:t>
      </w:r>
    </w:p>
    <w:p>
      <w:pPr>
        <w:spacing w:after="100" w:line="340"/>
        <w:ind w:left="720" w:hanging="720"/>
        <w:jc w:val="both"/>
      </w:pPr>
      <w:r>
        <w:rPr>
          <w:rFonts w:ascii="Times New Roman" w:cs="Times New Roman" w:eastAsia="Times New Roman" w:hAnsi="Times New Roman"/>
          <w:sz w:val="22"/>
          <w:szCs w:val="22"/>
        </w:rPr>
        <w:t xml:space="preserve">Karaboga, D., &amp; Akay, B. (2009). A comparative study of artificial bee colony algorithm. Applied Mathematics and Computation, 214(1), 108–132. https://doi.org/10.1016/j.amc.2009.03.090</w:t>
      </w:r>
    </w:p>
    <w:p>
      <w:pPr>
        <w:spacing w:after="100" w:line="340"/>
        <w:ind w:left="720" w:hanging="720"/>
        <w:jc w:val="both"/>
      </w:pPr>
      <w:r>
        <w:rPr>
          <w:rFonts w:ascii="Times New Roman" w:cs="Times New Roman" w:eastAsia="Times New Roman" w:hAnsi="Times New Roman"/>
          <w:sz w:val="22"/>
          <w:szCs w:val="22"/>
        </w:rPr>
        <w:t xml:space="preserve">Karaboga, D., &amp; Basturk, B. (2007). A powerful and efficient algorithm for numerical function optimization: Artificial bee colony (ABC) algorithm. Journal of Global Optimization, 39(3), 459–471. https://doi.org/10.1007/s10898-007-9149-x</w:t>
      </w:r>
    </w:p>
    <w:p>
      <w:pPr>
        <w:spacing w:after="100" w:line="340"/>
        <w:ind w:left="720" w:hanging="720"/>
        <w:jc w:val="both"/>
      </w:pPr>
      <w:r>
        <w:rPr>
          <w:rFonts w:ascii="Times New Roman" w:cs="Times New Roman" w:eastAsia="Times New Roman" w:hAnsi="Times New Roman"/>
          <w:sz w:val="22"/>
          <w:szCs w:val="22"/>
        </w:rPr>
        <w:t xml:space="preserve">Kennedy, J., &amp; Eberhart, R. C. (1995). Particle swarm optimization. In Proceedings of the IEEE International Conference on Neural Networks (Vol. 4, pp. 1942–1948). IEEE. https://doi.org/10.1109/ICNN.1995.488968</w:t>
      </w:r>
    </w:p>
    <w:p>
      <w:pPr>
        <w:spacing w:after="100" w:line="340"/>
        <w:ind w:left="720" w:hanging="720"/>
        <w:jc w:val="both"/>
      </w:pPr>
      <w:r>
        <w:rPr>
          <w:rFonts w:ascii="Times New Roman" w:cs="Times New Roman" w:eastAsia="Times New Roman" w:hAnsi="Times New Roman"/>
          <w:sz w:val="22"/>
          <w:szCs w:val="22"/>
        </w:rPr>
        <w:t xml:space="preserve">Khuat, T. T., &amp; Le, M. H. (2018). A Novel Hybrid ABC-PSO Algorithm for Effort Estimation of Software Projects Using Agile Methodologies. Journal of Intelligent Systems, 27(3), 489–506. https://doi.org/10.1515/jisys-2016-0294</w:t>
      </w:r>
    </w:p>
    <w:p>
      <w:pPr>
        <w:spacing w:after="100" w:line="340"/>
        <w:ind w:left="720" w:hanging="720"/>
        <w:jc w:val="both"/>
      </w:pPr>
      <w:r>
        <w:rPr>
          <w:rFonts w:ascii="Times New Roman" w:cs="Times New Roman" w:eastAsia="Times New Roman" w:hAnsi="Times New Roman"/>
          <w:sz w:val="22"/>
          <w:szCs w:val="22"/>
        </w:rPr>
        <w:t xml:space="preserve">Kılıçarslan, S. (2022). PSO+GWO: A Hybrid Particle Swarm Optimization and Grey Wolf Optimization Based Algorithm for Fine-Tuning Hyper-Parameters of Convolutional Neural Networks for Cardiovascular Disease Detection. Journal of Ambient Intelligence and Humanized Computing, 14(1), 87–97. https://doi.org/10.1007/s12652-022-04433-4</w:t>
      </w:r>
    </w:p>
    <w:p>
      <w:pPr>
        <w:spacing w:after="100" w:line="340"/>
        <w:ind w:left="720" w:hanging="720"/>
        <w:jc w:val="both"/>
      </w:pPr>
      <w:r>
        <w:rPr>
          <w:rFonts w:ascii="Times New Roman" w:cs="Times New Roman" w:eastAsia="Times New Roman" w:hAnsi="Times New Roman"/>
          <w:sz w:val="22"/>
          <w:szCs w:val="22"/>
        </w:rPr>
        <w:t xml:space="preserve">Lim, W. H., Isa, N. A. M., &amp; Chan, K. Y. (2014). Particle swarm optimization with increasing topology connectivity. Engineering Applications of Artificial Intelligence, 27, 80–102. https://doi.org/10.1016/j.engappai.2013.09.011</w:t>
      </w:r>
    </w:p>
    <w:p>
      <w:pPr>
        <w:spacing w:after="100" w:line="340"/>
        <w:ind w:left="720" w:hanging="720"/>
        <w:jc w:val="both"/>
      </w:pPr>
      <w:r>
        <w:rPr>
          <w:rFonts w:ascii="Times New Roman" w:cs="Times New Roman" w:eastAsia="Times New Roman" w:hAnsi="Times New Roman"/>
          <w:sz w:val="22"/>
          <w:szCs w:val="22"/>
        </w:rPr>
        <w:t xml:space="preserve">Shi, Y., &amp; Eberhart, R. C. (1998). A modified particle swarm optimizer. In Proceedings of the 1998 IEEE International Conference on Evolutionary Computation Proceedings (pp. 69–73). IEEE. https://doi.org/10.1109/ICEC.1998.699146</w:t>
      </w:r>
    </w:p>
    <w:p>
      <w:pPr>
        <w:spacing w:after="100" w:line="340"/>
        <w:ind w:left="720" w:hanging="720"/>
        <w:jc w:val="both"/>
      </w:pPr>
      <w:r>
        <w:rPr>
          <w:rFonts w:ascii="Times New Roman" w:cs="Times New Roman" w:eastAsia="Times New Roman" w:hAnsi="Times New Roman"/>
          <w:sz w:val="22"/>
          <w:szCs w:val="22"/>
        </w:rPr>
        <w:t xml:space="preserve">Sivakumar, N., Saruladha, K., Zayaraz, G., &amp; Ilavarasan, E. (2016). A Comprehensive Survey on Hybridization of Artificial Bee Colony with Particle Swarm Optimization Algorithm and ABC Applications to Data Clustering. In Proceedings of the International Conference on Informatics and Analytics (pp. 1–7). ACM. https://doi.org/10.1145/2980258.2980402</w:t>
      </w:r>
    </w:p>
    <w:p>
      <w:pPr>
        <w:spacing w:after="100" w:line="340"/>
        <w:ind w:left="720" w:hanging="720"/>
        <w:jc w:val="both"/>
      </w:pPr>
      <w:r>
        <w:rPr>
          <w:rFonts w:ascii="Times New Roman" w:cs="Times New Roman" w:eastAsia="Times New Roman" w:hAnsi="Times New Roman"/>
          <w:sz w:val="22"/>
          <w:szCs w:val="22"/>
        </w:rPr>
        <w:t xml:space="preserve">Şenel, F. A., Gökçe, F., Yüksel, A. S., &amp; Yiğit, T. (2025). SwarmCNN: An Efficient Method for CNN Hyperparameter Optimization Using PSO and ABC Metaheuristic Algorithms. The Journal of Supercomputing, 81(1), 1–28. https://doi.org/10.1007/s11227-025-07347-y</w:t>
      </w:r>
    </w:p>
    <w:p>
      <w:pPr>
        <w:spacing w:after="100" w:line="340"/>
        <w:ind w:left="720" w:hanging="720"/>
        <w:jc w:val="both"/>
      </w:pPr>
      <w:r>
        <w:rPr>
          <w:rFonts w:ascii="Times New Roman" w:cs="Times New Roman" w:eastAsia="Times New Roman" w:hAnsi="Times New Roman"/>
          <w:sz w:val="22"/>
          <w:szCs w:val="22"/>
        </w:rPr>
        <w:t xml:space="preserve">Yang, L., &amp; Shami, A. (2020). On Hyperparameter Optimization of Machine Learning Algorithms: Theory and Practice. Neurocomputing, 415, 295–316. https://doi.org/10.1016/j.neucom.2020.07.061</w:t>
      </w:r>
    </w:p>
    <w:p>
      <w:pPr>
        <w:spacing w:after="100" w:line="340"/>
        <w:ind w:left="720" w:hanging="720"/>
        <w:jc w:val="both"/>
      </w:pPr>
      <w:r>
        <w:rPr>
          <w:rFonts w:ascii="Times New Roman" w:cs="Times New Roman" w:eastAsia="Times New Roman" w:hAnsi="Times New Roman"/>
          <w:sz w:val="22"/>
          <w:szCs w:val="22"/>
        </w:rPr>
        <w:t xml:space="preserve">Zahedi, L., Mohammadi, F. G., &amp; Amini, M. H. (2021). HYP-ABC: A Novel Automated Hyper-Parameter Tuning Algorithm Using Evolutionary Optimization. arXiv preprint arXiv:1810.13306.</w:t>
      </w:r>
    </w:p>
    <w:p>
      <w:pPr>
        <w:spacing w:after="100" w:line="340"/>
        <w:ind w:left="720" w:hanging="720"/>
        <w:jc w:val="both"/>
      </w:pPr>
      <w:r>
        <w:rPr>
          <w:rFonts w:ascii="Times New Roman" w:cs="Times New Roman" w:eastAsia="Times New Roman" w:hAnsi="Times New Roman"/>
          <w:sz w:val="22"/>
          <w:szCs w:val="22"/>
        </w:rPr>
        <w:t xml:space="preserve">Zhan, Z. H., Zhang, J., Li, Y., &amp; Chung, H. S. H. (2009). Adaptive Particle Swarm Optimization. IEEE Transactions on Systems, Man, and Cybernetics, Part B, 39(6), 1362–1381. https://doi.org/10.1109/TSMCB.2009.2015956</w:t>
      </w:r>
    </w:p>
    <w:p>
      <w:pPr>
        <w:spacing w:after="100" w:line="340"/>
        <w:ind w:left="720" w:hanging="720"/>
        <w:jc w:val="both"/>
      </w:pPr>
      <w:r>
        <w:rPr>
          <w:rFonts w:ascii="Times New Roman" w:cs="Times New Roman" w:eastAsia="Times New Roman" w:hAnsi="Times New Roman"/>
          <w:sz w:val="22"/>
          <w:szCs w:val="22"/>
        </w:rPr>
        <w:t xml:space="preserve">Zhu, G., &amp; Kwong, S. (2010). Gbest-Guided Artificial Bee Colony Algorithm for Numerical Function Optimization. Applied Mathematics and Computation, 217(7), 3166–3173. https://doi.org/10.1016/j.amc.2010.08.049</w:t>
      </w:r>
    </w:p>
    <w:p>
      <w:pPr>
        <w:spacing w:after="80"/>
      </w:pPr>
      <w:r>
        <w:t xml:space="preserve"/>
      </w:r>
    </w:p>
    <w:p>
      <w:pPr>
        <w:pStyle w:val="Heading2"/>
        <w:spacing w:after="160" w:before="280"/>
      </w:pPr>
      <w:r>
        <w:rPr>
          <w:rFonts w:ascii="Times New Roman" w:cs="Times New Roman" w:eastAsia="Times New Roman" w:hAnsi="Times New Roman"/>
          <w:b/>
          <w:bCs/>
          <w:color w:val="2E5090"/>
          <w:sz w:val="28"/>
          <w:szCs w:val="28"/>
        </w:rPr>
        <w:t xml:space="preserve">B. Random Forest Teorisi ve Uygulamaları</w:t>
      </w:r>
    </w:p>
    <w:p>
      <w:pPr>
        <w:spacing w:after="100" w:line="340"/>
        <w:ind w:left="720" w:hanging="720"/>
        <w:jc w:val="both"/>
      </w:pPr>
      <w:r>
        <w:rPr>
          <w:rFonts w:ascii="Times New Roman" w:cs="Times New Roman" w:eastAsia="Times New Roman" w:hAnsi="Times New Roman"/>
          <w:sz w:val="22"/>
          <w:szCs w:val="22"/>
        </w:rPr>
        <w:t xml:space="preserve">Breiman, L. (2001). Random Forests. Machine Learning, 45(1), 5–32. https://doi.org/10.1023/A:1010933404324</w:t>
      </w:r>
    </w:p>
    <w:p>
      <w:pPr>
        <w:spacing w:after="100" w:line="340"/>
        <w:ind w:left="720" w:hanging="720"/>
        <w:jc w:val="both"/>
      </w:pPr>
      <w:r>
        <w:rPr>
          <w:rFonts w:ascii="Times New Roman" w:cs="Times New Roman" w:eastAsia="Times New Roman" w:hAnsi="Times New Roman"/>
          <w:sz w:val="22"/>
          <w:szCs w:val="22"/>
        </w:rPr>
        <w:t xml:space="preserve">Chen, G., Chen, J., &amp; Wan, Y. (2023). An Improved Random Forest Based on the Classification Accuracy and Correlation Measurement of Decision Trees. Expert Systems with Applications, 237, 121549. https://doi.org/10.1016/j.eswa.2023.121549</w:t>
      </w:r>
    </w:p>
    <w:p>
      <w:pPr>
        <w:spacing w:after="100" w:line="340"/>
        <w:ind w:left="720" w:hanging="720"/>
        <w:jc w:val="both"/>
      </w:pPr>
      <w:r>
        <w:rPr>
          <w:rFonts w:ascii="Times New Roman" w:cs="Times New Roman" w:eastAsia="Times New Roman" w:hAnsi="Times New Roman"/>
          <w:sz w:val="22"/>
          <w:szCs w:val="22"/>
        </w:rPr>
        <w:t xml:space="preserve">Fernández-Delgado, M., Cernadas, E., Barro, S., &amp; Amorim, D. (2014). Do We Need Hundreds of Classifiers to Solve Real World Classification Problems? Journal of Machine Learning Research, 15(1), 3133–3181.</w:t>
      </w:r>
    </w:p>
    <w:p>
      <w:pPr>
        <w:spacing w:after="100" w:line="340"/>
        <w:ind w:left="720" w:hanging="720"/>
        <w:jc w:val="both"/>
      </w:pPr>
      <w:r>
        <w:rPr>
          <w:rFonts w:ascii="Times New Roman" w:cs="Times New Roman" w:eastAsia="Times New Roman" w:hAnsi="Times New Roman"/>
          <w:sz w:val="22"/>
          <w:szCs w:val="22"/>
        </w:rPr>
        <w:t xml:space="preserve">Gao, W., Hu, L., Zhang, P., &amp; He, J. (2023). An Improved Random Forest Based on the Classification Accuracy and Correlation Measurement of Decision Trees. Expert Systems with Applications, 237, 121549. https://doi.org/10.1016/j.eswa.2023.121549</w:t>
      </w:r>
    </w:p>
    <w:p>
      <w:pPr>
        <w:spacing w:after="100" w:line="340"/>
        <w:ind w:left="720" w:hanging="720"/>
        <w:jc w:val="both"/>
      </w:pPr>
      <w:r>
        <w:rPr>
          <w:rFonts w:ascii="Times New Roman" w:cs="Times New Roman" w:eastAsia="Times New Roman" w:hAnsi="Times New Roman"/>
          <w:sz w:val="22"/>
          <w:szCs w:val="22"/>
        </w:rPr>
        <w:t xml:space="preserve">Genuer, R., Poggi, J. M., &amp; Tuleau-Malot, C. (2010). Variable Selection Using Random Forests. Pattern Recognition Letters, 31(14), 2225–2236. https://doi.org/10.1016/j.patrec.2010.03.014</w:t>
      </w:r>
    </w:p>
    <w:p>
      <w:pPr>
        <w:spacing w:after="100" w:line="340"/>
        <w:ind w:left="720" w:hanging="720"/>
        <w:jc w:val="both"/>
      </w:pPr>
      <w:r>
        <w:rPr>
          <w:rFonts w:ascii="Times New Roman" w:cs="Times New Roman" w:eastAsia="Times New Roman" w:hAnsi="Times New Roman"/>
          <w:sz w:val="22"/>
          <w:szCs w:val="22"/>
        </w:rPr>
        <w:t xml:space="preserve">Lakra, A. V., Jena, S., et al. (2022). Optimization of Random Forest Hyperparameter Using Improved PSO for Handwritten Digits Classification. In S. K. Panda et al. (Eds.), Computing, Communication and Learning (pp. 266–276). Springer Nature. https://doi.org/10.1007/978-3-031-21750-0_23</w:t>
      </w:r>
    </w:p>
    <w:p>
      <w:pPr>
        <w:spacing w:after="100" w:line="340"/>
        <w:ind w:left="720" w:hanging="720"/>
        <w:jc w:val="both"/>
      </w:pPr>
      <w:r>
        <w:rPr>
          <w:rFonts w:ascii="Times New Roman" w:cs="Times New Roman" w:eastAsia="Times New Roman" w:hAnsi="Times New Roman"/>
          <w:sz w:val="22"/>
          <w:szCs w:val="22"/>
        </w:rPr>
        <w:t xml:space="preserve">Li, X., &amp; Xu, L. (2020). A Review of Random Forest-Based Feature Selection Methods for Data Science Education and Applications. International Journal of Data Science and Analytics, 12(4), 281–307. https://doi.org/10.1007/s41060-024-00509-w</w:t>
      </w:r>
    </w:p>
    <w:p>
      <w:pPr>
        <w:spacing w:after="100" w:line="340"/>
        <w:ind w:left="720" w:hanging="720"/>
        <w:jc w:val="both"/>
      </w:pPr>
      <w:r>
        <w:rPr>
          <w:rFonts w:ascii="Times New Roman" w:cs="Times New Roman" w:eastAsia="Times New Roman" w:hAnsi="Times New Roman"/>
          <w:sz w:val="22"/>
          <w:szCs w:val="22"/>
        </w:rPr>
        <w:t xml:space="preserve">Liaw, A., &amp; Wiener, M. (2002). Classification and Regression by RandomForest. R News, 2(3), 18–22.</w:t>
      </w:r>
    </w:p>
    <w:p>
      <w:pPr>
        <w:spacing w:after="100" w:line="340"/>
        <w:ind w:left="720" w:hanging="720"/>
        <w:jc w:val="both"/>
      </w:pPr>
      <w:r>
        <w:rPr>
          <w:rFonts w:ascii="Times New Roman" w:cs="Times New Roman" w:eastAsia="Times New Roman" w:hAnsi="Times New Roman"/>
          <w:sz w:val="22"/>
          <w:szCs w:val="22"/>
        </w:rPr>
        <w:t xml:space="preserve">Oshiro, T. M., Perez, P. S., &amp; Baranauskas, J. A. (2012). How Many Trees in a Random Forest? In Proceedings of the 8th International Conference on Machine Learning and Data Mining in Pattern Recognition (pp. 154–168). Springer. https://doi.org/10.1007/978-3-642-31537-4_13</w:t>
      </w:r>
    </w:p>
    <w:p>
      <w:pPr>
        <w:spacing w:after="100" w:line="340"/>
        <w:ind w:left="720" w:hanging="720"/>
        <w:jc w:val="both"/>
      </w:pPr>
      <w:r>
        <w:rPr>
          <w:rFonts w:ascii="Times New Roman" w:cs="Times New Roman" w:eastAsia="Times New Roman" w:hAnsi="Times New Roman"/>
          <w:sz w:val="22"/>
          <w:szCs w:val="22"/>
        </w:rPr>
        <w:t xml:space="preserve">Sagi, O., &amp; Rokach, L. (2018). Ensemble Learning: A Survey. WIREs Data Mining and Knowledge Discovery, 8(4), e1249. https://doi.org/10.1002/widm.1249</w:t>
      </w:r>
    </w:p>
    <w:p>
      <w:pPr>
        <w:spacing w:after="100" w:line="340"/>
        <w:ind w:left="720" w:hanging="720"/>
        <w:jc w:val="both"/>
      </w:pPr>
      <w:r>
        <w:rPr>
          <w:rFonts w:ascii="Times New Roman" w:cs="Times New Roman" w:eastAsia="Times New Roman" w:hAnsi="Times New Roman"/>
          <w:sz w:val="22"/>
          <w:szCs w:val="22"/>
        </w:rPr>
        <w:t xml:space="preserve">Scornet, E., Biau, G., &amp; Vert, J. P. (2015). Consistency of Random Forests. Annals of Statistics, 43(4), 1716–1741. https://doi.org/10.1214/15-AOS1321</w:t>
      </w:r>
    </w:p>
    <w:p>
      <w:pPr>
        <w:spacing w:after="100" w:line="340"/>
        <w:ind w:left="720" w:hanging="720"/>
        <w:jc w:val="both"/>
      </w:pPr>
      <w:r>
        <w:rPr>
          <w:rFonts w:ascii="Times New Roman" w:cs="Times New Roman" w:eastAsia="Times New Roman" w:hAnsi="Times New Roman"/>
          <w:sz w:val="22"/>
          <w:szCs w:val="22"/>
        </w:rPr>
        <w:t xml:space="preserve">Strobl, C., Boulesteix, A. L., Zeileis, A., &amp; Hothorn, T. (2007). Bias in Random Forest Variable Importance Measures: Illustrations, Sources and a Solution. BMC Bioinformatics, 8(1), 25. https://doi.org/10.1186/1471-2105-8-25</w:t>
      </w:r>
    </w:p>
    <w:p>
      <w:pPr>
        <w:spacing w:after="100" w:line="340"/>
        <w:ind w:left="720" w:hanging="720"/>
        <w:jc w:val="both"/>
      </w:pPr>
      <w:r>
        <w:rPr>
          <w:rFonts w:ascii="Times New Roman" w:cs="Times New Roman" w:eastAsia="Times New Roman" w:hAnsi="Times New Roman"/>
          <w:sz w:val="22"/>
          <w:szCs w:val="22"/>
        </w:rPr>
        <w:t xml:space="preserve">Tadist, K., Najah, S., Nikolov, N. S., Mrabti, F., &amp; Zahi, A. (2019). Feature Selection Methods and Genomic Big Data: A Systematic Review. Journal of Big Data, 6(1), 79. https://doi.org/10.1186/s40537-019-0241-0</w:t>
      </w:r>
    </w:p>
    <w:p>
      <w:pPr>
        <w:spacing w:after="100" w:line="340"/>
        <w:ind w:left="720" w:hanging="720"/>
        <w:jc w:val="both"/>
      </w:pPr>
      <w:r>
        <w:rPr>
          <w:rFonts w:ascii="Times New Roman" w:cs="Times New Roman" w:eastAsia="Times New Roman" w:hAnsi="Times New Roman"/>
          <w:sz w:val="22"/>
          <w:szCs w:val="22"/>
        </w:rPr>
        <w:t xml:space="preserve">Ture, M., Kurt, I., Kurum, A. T., &amp; Ozdamar, K. (2005). Comparing Classification Techniques for Predicting Essential Hypertension. Expert Systems with Applications, 29(3), 583–588. https://doi.org/10.1016/j.eswa.2005.04.014</w:t>
      </w:r>
    </w:p>
    <w:p>
      <w:pPr>
        <w:spacing w:after="100" w:line="340"/>
        <w:ind w:left="720" w:hanging="720"/>
        <w:jc w:val="both"/>
      </w:pPr>
      <w:r>
        <w:rPr>
          <w:rFonts w:ascii="Times New Roman" w:cs="Times New Roman" w:eastAsia="Times New Roman" w:hAnsi="Times New Roman"/>
          <w:sz w:val="22"/>
          <w:szCs w:val="22"/>
        </w:rPr>
        <w:t xml:space="preserve">Zhang, C., &amp; Ma, Y. (2012). Ensemble Machine Learning: Methods and Applications. Springer.</w:t>
      </w:r>
    </w:p>
    <w:p>
      <w:pPr>
        <w:spacing w:after="80"/>
      </w:pPr>
      <w:r>
        <w:t xml:space="preserve"/>
      </w:r>
    </w:p>
    <w:p>
      <w:pPr>
        <w:pStyle w:val="Heading2"/>
        <w:spacing w:after="160" w:before="280"/>
      </w:pPr>
      <w:r>
        <w:rPr>
          <w:rFonts w:ascii="Times New Roman" w:cs="Times New Roman" w:eastAsia="Times New Roman" w:hAnsi="Times New Roman"/>
          <w:b/>
          <w:bCs/>
          <w:color w:val="2E5090"/>
          <w:sz w:val="28"/>
          <w:szCs w:val="28"/>
        </w:rPr>
        <w:t xml:space="preserve">C. Fintech ve Dijital Ödeme Sistemleri</w:t>
      </w:r>
    </w:p>
    <w:p>
      <w:pPr>
        <w:spacing w:after="100" w:line="340"/>
        <w:ind w:left="720" w:hanging="720"/>
        <w:jc w:val="both"/>
      </w:pPr>
      <w:r>
        <w:rPr>
          <w:rFonts w:ascii="Times New Roman" w:cs="Times New Roman" w:eastAsia="Times New Roman" w:hAnsi="Times New Roman"/>
          <w:sz w:val="22"/>
          <w:szCs w:val="22"/>
        </w:rPr>
        <w:t xml:space="preserve">Al-Emran, M., Al-Qaysi, N., Mezhuyev, V., &amp; Al-Sharafi, M. A. (2022). Evaluating the Use of Smartwatches for Learning in Higher Education: Why Do or Don't They Use It? Studies in Educational Evaluation, 72, 101116.</w:t>
      </w:r>
    </w:p>
    <w:p>
      <w:pPr>
        <w:spacing w:after="100" w:line="340"/>
        <w:ind w:left="720" w:hanging="720"/>
        <w:jc w:val="both"/>
      </w:pPr>
      <w:r>
        <w:rPr>
          <w:rFonts w:ascii="Times New Roman" w:cs="Times New Roman" w:eastAsia="Times New Roman" w:hAnsi="Times New Roman"/>
          <w:sz w:val="22"/>
          <w:szCs w:val="22"/>
        </w:rPr>
        <w:t xml:space="preserve">Belanche, D., Casaló, L. V., &amp; Flavián, C. (2019). Artificial Intelligence in FinTech: Understanding Robo-Advisors Adoption Among Customers. Industrial Management &amp; Data Systems, 119(7), 1411–1430. https://doi.org/10.1108/IMDS-08-2018-0368</w:t>
      </w:r>
    </w:p>
    <w:p>
      <w:pPr>
        <w:spacing w:after="100" w:line="340"/>
        <w:ind w:left="720" w:hanging="720"/>
        <w:jc w:val="both"/>
      </w:pPr>
      <w:r>
        <w:rPr>
          <w:rFonts w:ascii="Times New Roman" w:cs="Times New Roman" w:eastAsia="Times New Roman" w:hAnsi="Times New Roman"/>
          <w:sz w:val="22"/>
          <w:szCs w:val="22"/>
        </w:rPr>
        <w:t xml:space="preserve">Carbo-Valverde, S., Rodriguez-Fernandez, F., &amp; Sánchez-Juárez, E. (2020). A Machine Learning Approach to the Digitalization of Bank Customers. PLoS ONE, 15(10), e0241099. https://doi.org/10.1371/journal.pone.0241099</w:t>
      </w:r>
    </w:p>
    <w:p>
      <w:pPr>
        <w:spacing w:after="100" w:line="340"/>
        <w:ind w:left="720" w:hanging="720"/>
        <w:jc w:val="both"/>
      </w:pPr>
      <w:r>
        <w:rPr>
          <w:rFonts w:ascii="Times New Roman" w:cs="Times New Roman" w:eastAsia="Times New Roman" w:hAnsi="Times New Roman"/>
          <w:sz w:val="22"/>
          <w:szCs w:val="22"/>
        </w:rPr>
        <w:t xml:space="preserve">Chaudhuri, A., Sau, A., Pramanik, S., &amp; Dey, A. (2021). Customer Purchasing Behavior Prediction Using Machine Learning Classification Techniques. Journal of Ambient Intelligence and Humanized Computing, 14(12), 16133–16157. https://doi.org/10.1007/s12652-021-03624-3</w:t>
      </w:r>
    </w:p>
    <w:p>
      <w:pPr>
        <w:spacing w:after="100" w:line="340"/>
        <w:ind w:left="720" w:hanging="720"/>
        <w:jc w:val="both"/>
      </w:pPr>
      <w:r>
        <w:rPr>
          <w:rFonts w:ascii="Times New Roman" w:cs="Times New Roman" w:eastAsia="Times New Roman" w:hAnsi="Times New Roman"/>
          <w:sz w:val="22"/>
          <w:szCs w:val="22"/>
        </w:rPr>
        <w:t xml:space="preserve">Davis, F. D. (1989). Perceived Usefulness, Perceived Ease of Use, and User Acceptance of Information Technology. MIS Quarterly, 13(3), 319–340. https://doi.org/10.2307/249008</w:t>
      </w:r>
    </w:p>
    <w:p>
      <w:pPr>
        <w:spacing w:after="100" w:line="340"/>
        <w:ind w:left="720" w:hanging="720"/>
        <w:jc w:val="both"/>
      </w:pPr>
      <w:r>
        <w:rPr>
          <w:rFonts w:ascii="Times New Roman" w:cs="Times New Roman" w:eastAsia="Times New Roman" w:hAnsi="Times New Roman"/>
          <w:sz w:val="22"/>
          <w:szCs w:val="22"/>
        </w:rPr>
        <w:t xml:space="preserve">Dogan, O., &amp; Tiwari, S. (2021). Identifying Key Risk Factors in E-Commerce Business Using Machine Learning. In Proceedings of the International Conference on Intelligent Systems Design and Applications (ISDA) (pp. 102–111). Springer.</w:t>
      </w:r>
    </w:p>
    <w:p>
      <w:pPr>
        <w:spacing w:after="100" w:line="340"/>
        <w:ind w:left="720" w:hanging="720"/>
        <w:jc w:val="both"/>
      </w:pPr>
      <w:r>
        <w:rPr>
          <w:rFonts w:ascii="Times New Roman" w:cs="Times New Roman" w:eastAsia="Times New Roman" w:hAnsi="Times New Roman"/>
          <w:sz w:val="22"/>
          <w:szCs w:val="22"/>
        </w:rPr>
        <w:t xml:space="preserve">Gupta, S., Sabitha, A. S., &amp; Punhani, R. (2020). Predicting Adoption of Digital Payments: A Machine Learning Approach. International Journal of Advanced Computer Science and Applications, 11(12), 247–255.</w:t>
      </w:r>
    </w:p>
    <w:p>
      <w:pPr>
        <w:spacing w:after="100" w:line="340"/>
        <w:ind w:left="720" w:hanging="720"/>
        <w:jc w:val="both"/>
      </w:pPr>
      <w:r>
        <w:rPr>
          <w:rFonts w:ascii="Times New Roman" w:cs="Times New Roman" w:eastAsia="Times New Roman" w:hAnsi="Times New Roman"/>
          <w:sz w:val="22"/>
          <w:szCs w:val="22"/>
        </w:rPr>
        <w:t xml:space="preserve">Hassan, F., Khan, A., &amp; Omer, I. (2025). Machine Learning-Based Analysis of Technology Acceptance in FinTech: A Behavioral Study Using Digital Wallet Data. SN Computer Science, 6(4), 1–18. https://doi.org/10.1007/s42979-025-04214-8</w:t>
      </w:r>
    </w:p>
    <w:p>
      <w:pPr>
        <w:spacing w:after="100" w:line="340"/>
        <w:ind w:left="720" w:hanging="720"/>
        <w:jc w:val="both"/>
      </w:pPr>
      <w:r>
        <w:rPr>
          <w:rFonts w:ascii="Times New Roman" w:cs="Times New Roman" w:eastAsia="Times New Roman" w:hAnsi="Times New Roman"/>
          <w:sz w:val="22"/>
          <w:szCs w:val="22"/>
        </w:rPr>
        <w:t xml:space="preserve">Hou, J., Zhao, H., &amp; Zhang, J. (2022). Applying Machine Learning to the Development of Prediction Models for Bank Deposit Subscription. Information Technology and Control, 51(1), 88–102.</w:t>
      </w:r>
    </w:p>
    <w:p>
      <w:pPr>
        <w:spacing w:after="100" w:line="340"/>
        <w:ind w:left="720" w:hanging="720"/>
        <w:jc w:val="both"/>
      </w:pPr>
      <w:r>
        <w:rPr>
          <w:rFonts w:ascii="Times New Roman" w:cs="Times New Roman" w:eastAsia="Times New Roman" w:hAnsi="Times New Roman"/>
          <w:sz w:val="22"/>
          <w:szCs w:val="22"/>
        </w:rPr>
        <w:t xml:space="preserve">Hu, X., Li, P., &amp; Zhang, W. (2024). Research on Digital Payment Behavior Prediction Using Machine Learning. Working Paper. ResearchGate.</w:t>
      </w:r>
    </w:p>
    <w:p>
      <w:pPr>
        <w:spacing w:after="100" w:line="340"/>
        <w:ind w:left="720" w:hanging="720"/>
        <w:jc w:val="both"/>
      </w:pPr>
      <w:r>
        <w:rPr>
          <w:rFonts w:ascii="Times New Roman" w:cs="Times New Roman" w:eastAsia="Times New Roman" w:hAnsi="Times New Roman"/>
          <w:sz w:val="22"/>
          <w:szCs w:val="22"/>
        </w:rPr>
        <w:t xml:space="preserve">International Monetary Fund. (2019). FinTech in Financial Inclusion: Machine Learning Applications in Assessing Credit Risk (IMF Working Paper WP/19/109). IMF.</w:t>
      </w:r>
    </w:p>
    <w:p>
      <w:pPr>
        <w:spacing w:after="100" w:line="340"/>
        <w:ind w:left="720" w:hanging="720"/>
        <w:jc w:val="both"/>
      </w:pPr>
      <w:r>
        <w:rPr>
          <w:rFonts w:ascii="Times New Roman" w:cs="Times New Roman" w:eastAsia="Times New Roman" w:hAnsi="Times New Roman"/>
          <w:sz w:val="22"/>
          <w:szCs w:val="22"/>
        </w:rPr>
        <w:t xml:space="preserve">Jünger, M., &amp; Mietzner, M. (2020). Banking Goes Digital: The Adoption of FinTech Services by German Households. Finance Research Letters, 34, 101260. https://doi.org/10.1016/j.frl.2019.08.008</w:t>
      </w:r>
    </w:p>
    <w:p>
      <w:pPr>
        <w:spacing w:after="100" w:line="340"/>
        <w:ind w:left="720" w:hanging="720"/>
        <w:jc w:val="both"/>
      </w:pPr>
      <w:r>
        <w:rPr>
          <w:rFonts w:ascii="Times New Roman" w:cs="Times New Roman" w:eastAsia="Times New Roman" w:hAnsi="Times New Roman"/>
          <w:sz w:val="22"/>
          <w:szCs w:val="22"/>
        </w:rPr>
        <w:t xml:space="preserve">Kalusivalingam, A. K., Sharma, A., Patel, N., &amp; Singh, V. (2020). Enhancing Predictive Business Analytics with Deep Learning and Ensemble Methods: A Comparative Study. IEEE Conference Proceedings.</w:t>
      </w:r>
    </w:p>
    <w:p>
      <w:pPr>
        <w:spacing w:after="100" w:line="340"/>
        <w:ind w:left="720" w:hanging="720"/>
        <w:jc w:val="both"/>
      </w:pPr>
      <w:r>
        <w:rPr>
          <w:rFonts w:ascii="Times New Roman" w:cs="Times New Roman" w:eastAsia="Times New Roman" w:hAnsi="Times New Roman"/>
          <w:sz w:val="22"/>
          <w:szCs w:val="22"/>
        </w:rPr>
        <w:t xml:space="preserve">Liébana-Cabanillas, F., Reyes-Corredera, S., &amp; García-Ortega, B. (2024). Examining User Behavior with Machine Learning for Effective Mobile Peer-to-Peer Payment Adoption. Financial Innovation, 10(1), 1–25. https://doi.org/10.1186/s40854-024-00625-3</w:t>
      </w:r>
    </w:p>
    <w:p>
      <w:pPr>
        <w:spacing w:after="100" w:line="340"/>
        <w:ind w:left="720" w:hanging="720"/>
        <w:jc w:val="both"/>
      </w:pPr>
      <w:r>
        <w:rPr>
          <w:rFonts w:ascii="Times New Roman" w:cs="Times New Roman" w:eastAsia="Times New Roman" w:hAnsi="Times New Roman"/>
          <w:sz w:val="22"/>
          <w:szCs w:val="22"/>
        </w:rPr>
        <w:t xml:space="preserve">Singh, S., Sahni, M. M., &amp; Kovid, R. K. (2020). What Drives FinTech Adoption? A Multi-Method Evaluation Using an Adapted Technology Acceptance Model. Management Decision, 58(8), 1675–1697. https://doi.org/10.1108/MD-09-2019-1318</w:t>
      </w:r>
    </w:p>
    <w:p>
      <w:pPr>
        <w:spacing w:after="100" w:line="340"/>
        <w:ind w:left="720" w:hanging="720"/>
        <w:jc w:val="both"/>
      </w:pPr>
      <w:r>
        <w:rPr>
          <w:rFonts w:ascii="Times New Roman" w:cs="Times New Roman" w:eastAsia="Times New Roman" w:hAnsi="Times New Roman"/>
          <w:sz w:val="22"/>
          <w:szCs w:val="22"/>
        </w:rPr>
        <w:t xml:space="preserve">Tian, Y., &amp; Chan, T. J. (2024). Predictors of Mobile Payment Use Applications from the Extended Technology Acceptance Model. SAGE Open, 14(4). https://doi.org/10.1177/21582440241292525</w:t>
      </w:r>
    </w:p>
    <w:p>
      <w:pPr>
        <w:spacing w:after="100" w:line="340"/>
        <w:ind w:left="720" w:hanging="720"/>
        <w:jc w:val="both"/>
      </w:pPr>
      <w:r>
        <w:rPr>
          <w:rFonts w:ascii="Times New Roman" w:cs="Times New Roman" w:eastAsia="Times New Roman" w:hAnsi="Times New Roman"/>
          <w:sz w:val="22"/>
          <w:szCs w:val="22"/>
        </w:rPr>
        <w:t xml:space="preserve">Venkatesh, V., Morris, M. G., Davis, G. B., &amp; Davis, F. D. (2003). User Acceptance of Information Technology: Toward a Unified View. MIS Quarterly, 27(3), 425–478. https://doi.org/10.2307/30036540</w:t>
      </w:r>
    </w:p>
    <w:p>
      <w:pPr>
        <w:spacing w:after="100" w:line="340"/>
        <w:ind w:left="720" w:hanging="720"/>
        <w:jc w:val="both"/>
      </w:pPr>
      <w:r>
        <w:rPr>
          <w:rFonts w:ascii="Times New Roman" w:cs="Times New Roman" w:eastAsia="Times New Roman" w:hAnsi="Times New Roman"/>
          <w:sz w:val="22"/>
          <w:szCs w:val="22"/>
        </w:rPr>
        <w:t xml:space="preserve">Venkatesh, V., Thong, J. Y. L., &amp; Xu, X. (2012). Consumer Acceptance and Use of Information Technology: Extending the Unified Theory of Acceptance and Use of Technology. MIS Quarterly, 36(1), 157–178. https://doi.org/10.2307/41410412</w:t>
      </w:r>
    </w:p>
    <w:p>
      <w:pPr>
        <w:spacing w:after="100" w:line="340"/>
        <w:ind w:left="720" w:hanging="720"/>
        <w:jc w:val="both"/>
      </w:pPr>
      <w:r>
        <w:rPr>
          <w:rFonts w:ascii="Times New Roman" w:cs="Times New Roman" w:eastAsia="Times New Roman" w:hAnsi="Times New Roman"/>
          <w:sz w:val="22"/>
          <w:szCs w:val="22"/>
        </w:rPr>
        <w:t xml:space="preserve">Wang, H., Wang, L., &amp; Zhu, F. (2024). E-Commerce User Behavior Analysis and Prediction Based on Artificial Neural Network and Data Mining. In Proceedings of the 2024 IEEE 7th ITNEC Conference (pp. 583–586). IEEE.</w:t>
      </w:r>
    </w:p>
    <w:p>
      <w:pPr>
        <w:spacing w:after="100" w:line="340"/>
        <w:ind w:left="720" w:hanging="720"/>
        <w:jc w:val="both"/>
      </w:pPr>
      <w:r>
        <w:rPr>
          <w:rFonts w:ascii="Times New Roman" w:cs="Times New Roman" w:eastAsia="Times New Roman" w:hAnsi="Times New Roman"/>
          <w:sz w:val="22"/>
          <w:szCs w:val="22"/>
        </w:rPr>
        <w:t xml:space="preserve">Wang, Z., Li, Z., &amp; Peng, J. (2025). Machine Learning-Based Prediction Models for Online Shopping in the Digital Economy. In Proceedings of the 2025 International Conference on Digital Economy and Information Systems (pp. 101–112). ACM.</w:t>
      </w:r>
    </w:p>
    <w:p>
      <w:pPr>
        <w:spacing w:after="80"/>
      </w:pPr>
      <w:r>
        <w:t xml:space="preserve"/>
      </w:r>
    </w:p>
    <w:p>
      <w:pPr>
        <w:pStyle w:val="Heading2"/>
        <w:spacing w:after="160" w:before="280"/>
      </w:pPr>
      <w:r>
        <w:rPr>
          <w:rFonts w:ascii="Times New Roman" w:cs="Times New Roman" w:eastAsia="Times New Roman" w:hAnsi="Times New Roman"/>
          <w:b/>
          <w:bCs/>
          <w:color w:val="2E5090"/>
          <w:sz w:val="28"/>
          <w:szCs w:val="28"/>
        </w:rPr>
        <w:t xml:space="preserve">D. Açıklanabilir Yapay Zekâ (XAI)</w:t>
      </w:r>
    </w:p>
    <w:p>
      <w:pPr>
        <w:spacing w:after="100" w:line="340"/>
        <w:ind w:left="720" w:hanging="720"/>
        <w:jc w:val="both"/>
      </w:pPr>
      <w:r>
        <w:rPr>
          <w:rFonts w:ascii="Times New Roman" w:cs="Times New Roman" w:eastAsia="Times New Roman" w:hAnsi="Times New Roman"/>
          <w:sz w:val="22"/>
          <w:szCs w:val="22"/>
        </w:rPr>
        <w:t xml:space="preserve">Al-Otaibi, S., AlSheikh, F., &amp; Ayub, F. (2025). Explainable AI (XAI) Using SHAP and LIME for Financial Fraud Detection and Credit Scoring. In Proceedings of the 2025 IEEE International Conference on Advanced Computing (pp. 1–7). IEEE Xplore. https://doi.org/10.1109/ICAC.2025.11005238</w:t>
      </w:r>
    </w:p>
    <w:p>
      <w:pPr>
        <w:spacing w:after="100" w:line="340"/>
        <w:ind w:left="720" w:hanging="720"/>
        <w:jc w:val="both"/>
      </w:pPr>
      <w:r>
        <w:rPr>
          <w:rFonts w:ascii="Times New Roman" w:cs="Times New Roman" w:eastAsia="Times New Roman" w:hAnsi="Times New Roman"/>
          <w:sz w:val="22"/>
          <w:szCs w:val="22"/>
        </w:rPr>
        <w:t xml:space="preserve">Arrieta, A. B., Díaz-Rodríguez, N., Del Ser, J., Bennetot, A., Tabik, S., Barbado, A., ... &amp; Herrera, F. (2020). Explainable Artificial Intelligence (XAI): Concepts, Taxonomies, Opportunities and Challenges Toward Responsible AI. Information Fusion, 58, 82–115. https://doi.org/10.1016/j.inffus.2019.12.012</w:t>
      </w:r>
    </w:p>
    <w:p>
      <w:pPr>
        <w:spacing w:after="100" w:line="340"/>
        <w:ind w:left="720" w:hanging="720"/>
        <w:jc w:val="both"/>
      </w:pPr>
      <w:r>
        <w:rPr>
          <w:rFonts w:ascii="Times New Roman" w:cs="Times New Roman" w:eastAsia="Times New Roman" w:hAnsi="Times New Roman"/>
          <w:sz w:val="22"/>
          <w:szCs w:val="22"/>
        </w:rPr>
        <w:t xml:space="preserve">Biecek, P., &amp; Burzykowski, T. (2021). Explanatory Model Analysis: Explore, Explain, and Examine Predictive Models. CRC Press.</w:t>
      </w:r>
    </w:p>
    <w:p>
      <w:pPr>
        <w:spacing w:after="100" w:line="340"/>
        <w:ind w:left="720" w:hanging="720"/>
        <w:jc w:val="both"/>
      </w:pPr>
      <w:r>
        <w:rPr>
          <w:rFonts w:ascii="Times New Roman" w:cs="Times New Roman" w:eastAsia="Times New Roman" w:hAnsi="Times New Roman"/>
          <w:sz w:val="22"/>
          <w:szCs w:val="22"/>
        </w:rPr>
        <w:t xml:space="preserve">Gunning, D., &amp; Aha, D. (2019). DARPA's Explainable Artificial Intelligence (XAI) Program. AI Magazine, 40(2), 44–58. https://doi.org/10.1609/aimag.v40i2.2850</w:t>
      </w:r>
    </w:p>
    <w:p>
      <w:pPr>
        <w:spacing w:after="100" w:line="340"/>
        <w:ind w:left="720" w:hanging="720"/>
        <w:jc w:val="both"/>
      </w:pPr>
      <w:r>
        <w:rPr>
          <w:rFonts w:ascii="Times New Roman" w:cs="Times New Roman" w:eastAsia="Times New Roman" w:hAnsi="Times New Roman"/>
          <w:sz w:val="22"/>
          <w:szCs w:val="22"/>
        </w:rPr>
        <w:t xml:space="preserve">Huang, Y., Zhang, L., &amp; Wei, X. (2024). AI-Powered Fraud Prevention in Digital Payment Ecosystems: Leveraging Machine Learning for Real-Time Anomaly Detection and Risk Mitigation. ResearchGate Preprint. https://doi.org/10.13140/RG.2.2.396885617</w:t>
      </w:r>
    </w:p>
    <w:p>
      <w:pPr>
        <w:spacing w:after="100" w:line="340"/>
        <w:ind w:left="720" w:hanging="720"/>
        <w:jc w:val="both"/>
      </w:pPr>
      <w:r>
        <w:rPr>
          <w:rFonts w:ascii="Times New Roman" w:cs="Times New Roman" w:eastAsia="Times New Roman" w:hAnsi="Times New Roman"/>
          <w:sz w:val="22"/>
          <w:szCs w:val="22"/>
        </w:rPr>
        <w:t xml:space="preserve">Linardatos, P., Papastefanopoulos, V., &amp; Kotsiantis, S. (2021). Explainable AI: A Review of Machine Learning Interpretability Methods. Entropy, 23(1), 18. https://doi.org/10.3390/e23010018</w:t>
      </w:r>
    </w:p>
    <w:p>
      <w:pPr>
        <w:spacing w:after="100" w:line="340"/>
        <w:ind w:left="720" w:hanging="720"/>
        <w:jc w:val="both"/>
      </w:pPr>
      <w:r>
        <w:rPr>
          <w:rFonts w:ascii="Times New Roman" w:cs="Times New Roman" w:eastAsia="Times New Roman" w:hAnsi="Times New Roman"/>
          <w:sz w:val="22"/>
          <w:szCs w:val="22"/>
        </w:rPr>
        <w:t xml:space="preserve">Lundberg, S. M., &amp; Lee, S. I. (2017). A Unified Approach to Interpreting Model Predictions. In Advances in Neural Information Processing Systems (Vol. 30, pp. 4765–4774). Curran Associates.</w:t>
      </w:r>
    </w:p>
    <w:p>
      <w:pPr>
        <w:spacing w:after="100" w:line="340"/>
        <w:ind w:left="720" w:hanging="720"/>
        <w:jc w:val="both"/>
      </w:pPr>
      <w:r>
        <w:rPr>
          <w:rFonts w:ascii="Times New Roman" w:cs="Times New Roman" w:eastAsia="Times New Roman" w:hAnsi="Times New Roman"/>
          <w:sz w:val="22"/>
          <w:szCs w:val="22"/>
        </w:rPr>
        <w:t xml:space="preserve">Molnar, C. (2022). Interpretable Machine Learning: A Guide for Making Black Box Models Explainable (2nd ed.). Lulu Press.</w:t>
      </w:r>
    </w:p>
    <w:p>
      <w:pPr>
        <w:spacing w:after="100" w:line="340"/>
        <w:ind w:left="720" w:hanging="720"/>
        <w:jc w:val="both"/>
      </w:pPr>
      <w:r>
        <w:rPr>
          <w:rFonts w:ascii="Times New Roman" w:cs="Times New Roman" w:eastAsia="Times New Roman" w:hAnsi="Times New Roman"/>
          <w:sz w:val="22"/>
          <w:szCs w:val="22"/>
        </w:rPr>
        <w:t xml:space="preserve">Nasr, A., Benslimane, Y., &amp; Hammoudi, S. (2025). Financial Fraud Detection Using Explainable AI and Stacking Ensemble Methods. arXiv preprint arXiv:2505.10050. https://arxiv.org/abs/2505.10050</w:t>
      </w:r>
    </w:p>
    <w:p>
      <w:pPr>
        <w:spacing w:after="100" w:line="340"/>
        <w:ind w:left="720" w:hanging="720"/>
        <w:jc w:val="both"/>
      </w:pPr>
      <w:r>
        <w:rPr>
          <w:rFonts w:ascii="Times New Roman" w:cs="Times New Roman" w:eastAsia="Times New Roman" w:hAnsi="Times New Roman"/>
          <w:sz w:val="22"/>
          <w:szCs w:val="22"/>
        </w:rPr>
        <w:t xml:space="preserve">Ribeiro, M. T., Singh, S., &amp; Guestrin, C. (2016). "Why Should I Trust You?": Explaining the Predictions of Any Classifier. In Proceedings of the 22nd ACM SIGKDD International Conference on Knowledge Discovery and Data Mining (pp. 1135–1144). ACM. https://doi.org/10.1145/2939672.2939778</w:t>
      </w:r>
    </w:p>
    <w:p>
      <w:pPr>
        <w:spacing w:after="100" w:line="340"/>
        <w:ind w:left="720" w:hanging="720"/>
        <w:jc w:val="both"/>
      </w:pPr>
      <w:r>
        <w:rPr>
          <w:rFonts w:ascii="Times New Roman" w:cs="Times New Roman" w:eastAsia="Times New Roman" w:hAnsi="Times New Roman"/>
          <w:sz w:val="22"/>
          <w:szCs w:val="22"/>
        </w:rPr>
        <w:t xml:space="preserve">Shapley, L. S. (1953). A Value for n-Person Games. In H. W. Kuhn &amp; A. W. Tucker (Eds.), Contributions to the Theory of Games (Vol. 2, pp. 307–317). Princeton University Press.</w:t>
      </w:r>
    </w:p>
    <w:p>
      <w:pPr>
        <w:spacing w:after="100" w:line="340"/>
        <w:ind w:left="720" w:hanging="720"/>
        <w:jc w:val="both"/>
      </w:pPr>
      <w:r>
        <w:rPr>
          <w:rFonts w:ascii="Times New Roman" w:cs="Times New Roman" w:eastAsia="Times New Roman" w:hAnsi="Times New Roman"/>
          <w:sz w:val="22"/>
          <w:szCs w:val="22"/>
        </w:rPr>
        <w:t xml:space="preserve">Wang, Y., Liu, H., &amp; Chen, Q. (2025). Explainable AI in Credit Card Fraud Detection: SHAP and LIME for Machine Learning Models. ResearchGate Preprint. https://doi.org/10.13140/RG.2.2.391124045</w:t>
      </w:r>
    </w:p>
    <w:p>
      <w:pPr>
        <w:spacing w:after="100" w:line="340"/>
        <w:ind w:left="720" w:hanging="720"/>
        <w:jc w:val="both"/>
      </w:pPr>
      <w:r>
        <w:rPr>
          <w:rFonts w:ascii="Times New Roman" w:cs="Times New Roman" w:eastAsia="Times New Roman" w:hAnsi="Times New Roman"/>
          <w:sz w:val="22"/>
          <w:szCs w:val="22"/>
        </w:rPr>
        <w:t xml:space="preserve">Xing, W., Zhang, Y., &amp; Li, W. (2024). A Stacked Ensemble Model for Credit Scoring Enhancement. Expert Systems with Applications, 241, 122663.</w:t>
      </w:r>
    </w:p>
    <w:p>
      <w:pPr>
        <w:spacing w:after="80"/>
      </w:pPr>
      <w:r>
        <w:t xml:space="preserve"/>
      </w:r>
    </w:p>
    <w:p>
      <w:pPr>
        <w:pStyle w:val="Heading2"/>
        <w:spacing w:after="160" w:before="280"/>
      </w:pPr>
      <w:r>
        <w:rPr>
          <w:rFonts w:ascii="Times New Roman" w:cs="Times New Roman" w:eastAsia="Times New Roman" w:hAnsi="Times New Roman"/>
          <w:b/>
          <w:bCs/>
          <w:color w:val="2E5090"/>
          <w:sz w:val="28"/>
          <w:szCs w:val="28"/>
        </w:rPr>
        <w:t xml:space="preserve">E. Ek Referanslar ve İlgili Çalışmalar</w:t>
      </w:r>
    </w:p>
    <w:p>
      <w:pPr>
        <w:spacing w:after="100" w:line="340"/>
        <w:ind w:left="720" w:hanging="720"/>
        <w:jc w:val="both"/>
      </w:pPr>
      <w:r>
        <w:rPr>
          <w:rFonts w:ascii="Times New Roman" w:cs="Times New Roman" w:eastAsia="Times New Roman" w:hAnsi="Times New Roman"/>
          <w:sz w:val="22"/>
          <w:szCs w:val="22"/>
        </w:rPr>
        <w:t xml:space="preserve">Amani, A., Rad, A., &amp; Nafisi, F. (2024). Optimized AI-MPM: Application of PSO for Tuning the Hyperparameters of SVM and RF Algorithms for Mineral Prospectivity Mapping. Computers &amp; Geosciences, 193, 105724. https://doi.org/10.1016/j.cageo.2024.105724</w:t>
      </w:r>
    </w:p>
    <w:p>
      <w:pPr>
        <w:spacing w:after="100" w:line="340"/>
        <w:ind w:left="720" w:hanging="720"/>
        <w:jc w:val="both"/>
      </w:pPr>
      <w:r>
        <w:rPr>
          <w:rFonts w:ascii="Times New Roman" w:cs="Times New Roman" w:eastAsia="Times New Roman" w:hAnsi="Times New Roman"/>
          <w:sz w:val="22"/>
          <w:szCs w:val="22"/>
        </w:rPr>
        <w:t xml:space="preserve">Amirabadi, M., Kahaei, M., &amp; Nezamalhosseini, S. (2020). Novel Suboptimal Approaches for Hyperparameter Tuning of Deep Neural Networks. Physical Communication, 41, 101052.</w:t>
      </w:r>
    </w:p>
    <w:p>
      <w:pPr>
        <w:spacing w:after="100" w:line="340"/>
        <w:ind w:left="720" w:hanging="720"/>
        <w:jc w:val="both"/>
      </w:pPr>
      <w:r>
        <w:rPr>
          <w:rFonts w:ascii="Times New Roman" w:cs="Times New Roman" w:eastAsia="Times New Roman" w:hAnsi="Times New Roman"/>
          <w:sz w:val="22"/>
          <w:szCs w:val="22"/>
        </w:rPr>
        <w:t xml:space="preserve">Beed, R., Roy, A., &amp; Bhattacharya, D. (2019). A Hybrid Multi-Objective Tour Route Optimization Algorithm Based on PSO and ABC. Computational Intelligence, 88, 884–909.</w:t>
      </w:r>
    </w:p>
    <w:p>
      <w:pPr>
        <w:spacing w:after="100" w:line="340"/>
        <w:ind w:left="720" w:hanging="720"/>
        <w:jc w:val="both"/>
      </w:pPr>
      <w:r>
        <w:rPr>
          <w:rFonts w:ascii="Times New Roman" w:cs="Times New Roman" w:eastAsia="Times New Roman" w:hAnsi="Times New Roman"/>
          <w:sz w:val="22"/>
          <w:szCs w:val="22"/>
        </w:rPr>
        <w:t xml:space="preserve">Cernadas, E., Fernández-Delgado, M., González-Rufino, E., &amp; Carrión, P. (2014). Influence of Normalization and Color Space to SVMs Applied to Classification by Texture. Pattern Recognition, 47(4), 1649–1662.</w:t>
      </w:r>
    </w:p>
    <w:p>
      <w:pPr>
        <w:spacing w:after="100" w:line="340"/>
        <w:ind w:left="720" w:hanging="720"/>
        <w:jc w:val="both"/>
      </w:pPr>
      <w:r>
        <w:rPr>
          <w:rFonts w:ascii="Times New Roman" w:cs="Times New Roman" w:eastAsia="Times New Roman" w:hAnsi="Times New Roman"/>
          <w:sz w:val="22"/>
          <w:szCs w:val="22"/>
        </w:rPr>
        <w:t xml:space="preserve">Chen, L., Ma, Z., &amp; Yin, J. (2021). A Hybrid PSO–ABC Route Optimization Algorithm for Tourism. PeerJ Computer Science, 7, e696. https://doi.org/10.7717/peerj-cs.696</w:t>
      </w:r>
    </w:p>
    <w:p>
      <w:pPr>
        <w:spacing w:after="100" w:line="340"/>
        <w:ind w:left="720" w:hanging="720"/>
        <w:jc w:val="both"/>
      </w:pPr>
      <w:r>
        <w:rPr>
          <w:rFonts w:ascii="Times New Roman" w:cs="Times New Roman" w:eastAsia="Times New Roman" w:hAnsi="Times New Roman"/>
          <w:sz w:val="22"/>
          <w:szCs w:val="22"/>
        </w:rPr>
        <w:t xml:space="preserve">Davis, F. D., Bagozzi, R. P., &amp; Warshaw, P. R. (1989). User Acceptance of Computer Technology: A Comparison of Two Theoretical Models. Management Science, 35(8), 982–1003. https://doi.org/10.1287/mnsc.35.8.982</w:t>
      </w:r>
    </w:p>
    <w:p>
      <w:pPr>
        <w:spacing w:after="100" w:line="340"/>
        <w:ind w:left="720" w:hanging="720"/>
        <w:jc w:val="both"/>
      </w:pPr>
      <w:r>
        <w:rPr>
          <w:rFonts w:ascii="Times New Roman" w:cs="Times New Roman" w:eastAsia="Times New Roman" w:hAnsi="Times New Roman"/>
          <w:sz w:val="22"/>
          <w:szCs w:val="22"/>
        </w:rPr>
        <w:t xml:space="preserve">Deng, H., &amp; Runger, G. (2012). Feature Selection via Regularized Trees. In Proceedings of the International Joint Conference on Neural Networks (IJCNN) (pp. 1–8). IEEE.</w:t>
      </w:r>
    </w:p>
    <w:p>
      <w:pPr>
        <w:spacing w:after="100" w:line="340"/>
        <w:ind w:left="720" w:hanging="720"/>
        <w:jc w:val="both"/>
      </w:pPr>
      <w:r>
        <w:rPr>
          <w:rFonts w:ascii="Times New Roman" w:cs="Times New Roman" w:eastAsia="Times New Roman" w:hAnsi="Times New Roman"/>
          <w:sz w:val="22"/>
          <w:szCs w:val="22"/>
        </w:rPr>
        <w:t xml:space="preserve">Frohlich, H., &amp; Zell, A. (2005). Efficient Parameter Selection for Support Vector Machines in Classification and Regression via Model-Based Global Optimization. In Proceedings of the International Joint Conference on Neural Networks (pp. 1431–1436). IEEE.</w:t>
      </w:r>
    </w:p>
    <w:p>
      <w:pPr>
        <w:spacing w:after="100" w:line="340"/>
        <w:ind w:left="720" w:hanging="720"/>
        <w:jc w:val="both"/>
      </w:pPr>
      <w:r>
        <w:rPr>
          <w:rFonts w:ascii="Times New Roman" w:cs="Times New Roman" w:eastAsia="Times New Roman" w:hAnsi="Times New Roman"/>
          <w:sz w:val="22"/>
          <w:szCs w:val="22"/>
        </w:rPr>
        <w:t xml:space="preserve">Han, F., Liu, Q. H., &amp; Cheng, J. (2007). Quantum-behaved Particle Swarm Optimization with Adaptive Mutation Operator. In Proceedings of the Third International Conference on Natural Computation (ICNC) (pp. 280–284). IEEE.</w:t>
      </w:r>
    </w:p>
    <w:p>
      <w:pPr>
        <w:spacing w:after="100" w:line="340"/>
        <w:ind w:left="720" w:hanging="720"/>
        <w:jc w:val="both"/>
      </w:pPr>
      <w:r>
        <w:rPr>
          <w:rFonts w:ascii="Times New Roman" w:cs="Times New Roman" w:eastAsia="Times New Roman" w:hAnsi="Times New Roman"/>
          <w:sz w:val="22"/>
          <w:szCs w:val="22"/>
        </w:rPr>
        <w:t xml:space="preserve">Jang, M., &amp; Lee, K. (2021). Enhancing VR Experience: A TAM-Based Study on Immersive Media Acceptance. Computers in Human Behavior, 124, 106916.</w:t>
      </w:r>
    </w:p>
    <w:p>
      <w:pPr>
        <w:spacing w:after="100" w:line="340"/>
        <w:ind w:left="720" w:hanging="720"/>
        <w:jc w:val="both"/>
      </w:pPr>
      <w:r>
        <w:rPr>
          <w:rFonts w:ascii="Times New Roman" w:cs="Times New Roman" w:eastAsia="Times New Roman" w:hAnsi="Times New Roman"/>
          <w:sz w:val="22"/>
          <w:szCs w:val="22"/>
        </w:rPr>
        <w:t xml:space="preserve">Kim, S., &amp; Lee, H. (2023). A Systematic Review of Explainable AI Methods for Credit Decision Systems. Expert Systems with Applications, 213, 118957.</w:t>
      </w:r>
    </w:p>
    <w:p>
      <w:pPr>
        <w:spacing w:after="100" w:line="340"/>
        <w:ind w:left="720" w:hanging="720"/>
        <w:jc w:val="both"/>
      </w:pPr>
      <w:r>
        <w:rPr>
          <w:rFonts w:ascii="Times New Roman" w:cs="Times New Roman" w:eastAsia="Times New Roman" w:hAnsi="Times New Roman"/>
          <w:sz w:val="22"/>
          <w:szCs w:val="22"/>
        </w:rPr>
        <w:t xml:space="preserve">Kocatepe, E., Çetintaş, H. B., &amp; Sert, E. (2022). Applying Machine Learning for Bank Deposit Subscription Prediction. ResearchGate, January 2022.</w:t>
      </w:r>
    </w:p>
    <w:p>
      <w:pPr>
        <w:spacing w:after="100" w:line="340"/>
        <w:ind w:left="720" w:hanging="720"/>
        <w:jc w:val="both"/>
      </w:pPr>
      <w:r>
        <w:rPr>
          <w:rFonts w:ascii="Times New Roman" w:cs="Times New Roman" w:eastAsia="Times New Roman" w:hAnsi="Times New Roman"/>
          <w:sz w:val="22"/>
          <w:szCs w:val="22"/>
        </w:rPr>
        <w:t xml:space="preserve">Lakhmiri, D., Digabel, S. L., &amp; Tribes, C. (2021). HyperNOMAD: Hyperparameter Optimization of Deep Neural Networks Using Mesh Adaptive Direct Search. ACM Transactions on Mathematical Software, 47, 1–27. https://doi.org/10.1145/3450975</w:t>
      </w:r>
    </w:p>
    <w:p>
      <w:pPr>
        <w:spacing w:after="100" w:line="340"/>
        <w:ind w:left="720" w:hanging="720"/>
        <w:jc w:val="both"/>
      </w:pPr>
      <w:r>
        <w:rPr>
          <w:rFonts w:ascii="Times New Roman" w:cs="Times New Roman" w:eastAsia="Times New Roman" w:hAnsi="Times New Roman"/>
          <w:sz w:val="22"/>
          <w:szCs w:val="22"/>
        </w:rPr>
        <w:t xml:space="preserve">Liang, Y., Ren, Y., Huang, K., &amp; Tao, J. (2022). Predicting Digital Payment Adoption: An Integrated Approach Using UTAUT2. Electronic Commerce Research and Applications, 51, 101110.</w:t>
      </w:r>
    </w:p>
    <w:p>
      <w:pPr>
        <w:spacing w:after="100" w:line="340"/>
        <w:ind w:left="720" w:hanging="720"/>
        <w:jc w:val="both"/>
      </w:pPr>
      <w:r>
        <w:rPr>
          <w:rFonts w:ascii="Times New Roman" w:cs="Times New Roman" w:eastAsia="Times New Roman" w:hAnsi="Times New Roman"/>
          <w:sz w:val="22"/>
          <w:szCs w:val="22"/>
        </w:rPr>
        <w:t xml:space="preserve">Liu, Y., Zhang, C., &amp; Wang, H. (2020). An Ensemble Learning Method for Online Consumer Behavior Prediction. Journal of Information Systems, 34(2), 122–138.</w:t>
      </w:r>
    </w:p>
    <w:p>
      <w:pPr>
        <w:spacing w:after="100" w:line="340"/>
        <w:ind w:left="720" w:hanging="720"/>
        <w:jc w:val="both"/>
      </w:pPr>
      <w:r>
        <w:rPr>
          <w:rFonts w:ascii="Times New Roman" w:cs="Times New Roman" w:eastAsia="Times New Roman" w:hAnsi="Times New Roman"/>
          <w:sz w:val="22"/>
          <w:szCs w:val="22"/>
        </w:rPr>
        <w:t xml:space="preserve">Lundberg, S. M., Erion, G. G., &amp; Lee, S. I. (2018). Consistent Individualized Feature Attribution for Tree Ensembles. arXiv preprint arXiv:1802.03888.</w:t>
      </w:r>
    </w:p>
    <w:p>
      <w:pPr>
        <w:spacing w:after="100" w:line="340"/>
        <w:ind w:left="720" w:hanging="720"/>
        <w:jc w:val="both"/>
      </w:pPr>
      <w:r>
        <w:rPr>
          <w:rFonts w:ascii="Times New Roman" w:cs="Times New Roman" w:eastAsia="Times New Roman" w:hAnsi="Times New Roman"/>
          <w:sz w:val="22"/>
          <w:szCs w:val="22"/>
        </w:rPr>
        <w:t xml:space="preserve">Nguyen, T. A., Nguyen, V. D., &amp; Bui, D. T. (2021). ABC-Based Optimization for User Segmentation in E-Commerce. In Proceedings of the International Conference on Soft Computing and Data Analytics (pp. 55–65). Springer.</w:t>
      </w:r>
    </w:p>
    <w:p>
      <w:pPr>
        <w:spacing w:after="100" w:line="340"/>
        <w:ind w:left="720" w:hanging="720"/>
        <w:jc w:val="both"/>
      </w:pPr>
      <w:r>
        <w:rPr>
          <w:rFonts w:ascii="Times New Roman" w:cs="Times New Roman" w:eastAsia="Times New Roman" w:hAnsi="Times New Roman"/>
          <w:sz w:val="22"/>
          <w:szCs w:val="22"/>
        </w:rPr>
        <w:t xml:space="preserve">Peng, C., &amp; Zhu, W. (2020). Imbalanced Data Classification: A Comprehensive Review of Methods and Applications. Wiley Interdisciplinary Reviews: Data Mining and Knowledge Discovery, 10(6), e1379.</w:t>
      </w:r>
    </w:p>
    <w:p>
      <w:pPr>
        <w:spacing w:after="100" w:line="340"/>
        <w:ind w:left="720" w:hanging="720"/>
        <w:jc w:val="both"/>
      </w:pPr>
      <w:r>
        <w:rPr>
          <w:rFonts w:ascii="Times New Roman" w:cs="Times New Roman" w:eastAsia="Times New Roman" w:hAnsi="Times New Roman"/>
          <w:sz w:val="22"/>
          <w:szCs w:val="22"/>
        </w:rPr>
        <w:t xml:space="preserve">Raza, S. A., &amp; Hanif, A. (2013). Factors Affecting Internet Banking Adoption among Internal and External Customers: A Case of Pakistan. International Journal of Electronic Finance, 7(1), 82–96.</w:t>
      </w:r>
    </w:p>
    <w:p>
      <w:pPr>
        <w:spacing w:after="100" w:line="340"/>
        <w:ind w:left="720" w:hanging="720"/>
        <w:jc w:val="both"/>
      </w:pPr>
      <w:r>
        <w:rPr>
          <w:rFonts w:ascii="Times New Roman" w:cs="Times New Roman" w:eastAsia="Times New Roman" w:hAnsi="Times New Roman"/>
          <w:sz w:val="22"/>
          <w:szCs w:val="22"/>
        </w:rPr>
        <w:t xml:space="preserve">Roh, T., Yang, Y. S., Xiao, S., &amp; Park, B. I. (2024). What Makes Consumers Trust and Adopt Fintech? An Empirical Investigation in China. Electronic Commerce Research, 24(1), 3–35.</w:t>
      </w:r>
    </w:p>
    <w:p>
      <w:pPr>
        <w:spacing w:after="100" w:line="340"/>
        <w:ind w:left="720" w:hanging="720"/>
        <w:jc w:val="both"/>
      </w:pPr>
      <w:r>
        <w:rPr>
          <w:rFonts w:ascii="Times New Roman" w:cs="Times New Roman" w:eastAsia="Times New Roman" w:hAnsi="Times New Roman"/>
          <w:sz w:val="22"/>
          <w:szCs w:val="22"/>
        </w:rPr>
        <w:t xml:space="preserve">Şahin, G., &amp; Yıldız, O. (2022). Sürü Zekâsı Tabanlı Hiper-Parametre Optimizasyonu ile Finans Alanında Karar Ağacı Performans İyileştirmesi. Bilgisayar Mühendisliği Dergisi, 14(3), 78–91.</w:t>
      </w:r>
    </w:p>
    <w:p>
      <w:pPr>
        <w:spacing w:after="100" w:line="340"/>
        <w:ind w:left="720" w:hanging="720"/>
        <w:jc w:val="both"/>
      </w:pPr>
      <w:r>
        <w:rPr>
          <w:rFonts w:ascii="Times New Roman" w:cs="Times New Roman" w:eastAsia="Times New Roman" w:hAnsi="Times New Roman"/>
          <w:sz w:val="22"/>
          <w:szCs w:val="22"/>
        </w:rPr>
        <w:t xml:space="preserve">Üstündağ, B. B., &amp; Çevikcan, E. (2015). Industry 4.0: Managing The Digital Transformation. Springer. https://doi.org/10.1007/978-3-319-57870-5</w:t>
      </w:r>
    </w:p>
    <w:p>
      <w:pPr>
        <w:spacing w:after="100" w:line="340"/>
        <w:ind w:left="720" w:hanging="720"/>
        <w:jc w:val="both"/>
      </w:pPr>
      <w:r>
        <w:rPr>
          <w:rFonts w:ascii="Times New Roman" w:cs="Times New Roman" w:eastAsia="Times New Roman" w:hAnsi="Times New Roman"/>
          <w:sz w:val="22"/>
          <w:szCs w:val="22"/>
        </w:rPr>
        <w:t xml:space="preserve">Wang, X., Pu, X., &amp; Liu, J. (2023). Integrating TAM and Machine Learning for Personalized FinTech Service Recommendations. In Proceedings of the IEEE International Conference on Big Data (pp. 2112–2118). IEEE.</w:t>
      </w:r>
    </w:p>
    <w:p>
      <w:pPr>
        <w:spacing w:after="100" w:line="340"/>
        <w:ind w:left="720" w:hanging="720"/>
        <w:jc w:val="both"/>
      </w:pPr>
      <w:r>
        <w:rPr>
          <w:rFonts w:ascii="Times New Roman" w:cs="Times New Roman" w:eastAsia="Times New Roman" w:hAnsi="Times New Roman"/>
          <w:sz w:val="22"/>
          <w:szCs w:val="22"/>
        </w:rPr>
        <w:t xml:space="preserve">Yeh, W. C., Lin, Y. C., Liang, Y. H., Lai, C. M., &amp; Huang, C. L. (2023). Simplified Swarm Optimization for Hyperparameters of Convolutional Neural Networks. Computers &amp; Industrial Engineering, 177, 109076. https://doi.org/10.1016/j.cie.2023.109076</w:t>
      </w:r>
    </w:p>
    <w:p>
      <w:pPr>
        <w:spacing w:after="100" w:line="340"/>
        <w:ind w:left="720" w:hanging="720"/>
        <w:jc w:val="both"/>
      </w:pPr>
      <w:r>
        <w:rPr>
          <w:rFonts w:ascii="Times New Roman" w:cs="Times New Roman" w:eastAsia="Times New Roman" w:hAnsi="Times New Roman"/>
          <w:sz w:val="22"/>
          <w:szCs w:val="22"/>
        </w:rPr>
        <w:t xml:space="preserve">Zhu, S., Pun, C. M., Zhu, H., Li, S., Huang, X., &amp; Gao, H. (2023). An Artificial Bee Colony Algorithm with a Balance Strategy for Wireless Sensor Network. Applied Soft Computing, 136, 110083. https://doi.org/10.1016/j.asoc.2023.110083</w:t>
      </w:r>
    </w:p>
    <w:p>
      <w:pPr>
        <w:spacing w:after="80"/>
      </w:pPr>
      <w:r>
        <w:t xml:space="preserve"/>
      </w:r>
    </w:p>
    <w:p>
      <w:r>
        <w:br w:type="page"/>
      </w:r>
    </w:p>
    <w:p>
      <w:pPr>
        <w:pStyle w:val="Heading1"/>
        <w:spacing w:after="200" w:before="360"/>
      </w:pPr>
      <w:r>
        <w:rPr>
          <w:rFonts w:ascii="Times New Roman" w:cs="Times New Roman" w:eastAsia="Times New Roman" w:hAnsi="Times New Roman"/>
          <w:b/>
          <w:bCs/>
          <w:color w:val="1F3864"/>
          <w:sz w:val="32"/>
          <w:szCs w:val="32"/>
        </w:rPr>
        <w:t xml:space="preserve">EKLER</w:t>
      </w:r>
    </w:p>
    <w:p>
      <w:pPr>
        <w:pStyle w:val="Heading2"/>
        <w:spacing w:after="160" w:before="280"/>
      </w:pPr>
      <w:r>
        <w:rPr>
          <w:rFonts w:ascii="Times New Roman" w:cs="Times New Roman" w:eastAsia="Times New Roman" w:hAnsi="Times New Roman"/>
          <w:b/>
          <w:bCs/>
          <w:color w:val="2E5090"/>
          <w:sz w:val="28"/>
          <w:szCs w:val="28"/>
        </w:rPr>
        <w:t xml:space="preserve">Ek A: Temel Çalışmalar Özet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rPr>
          <w:tblHeader/>
        </w:trPr>
        <w:tc>
          <w:tcPr>
            <w:tcW w:type="dxa" w:w="3000"/>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Kaynak</w:t>
            </w:r>
          </w:p>
        </w:tc>
        <w:tc>
          <w:tcPr>
            <w:tcW w:type="dxa" w:w="2000"/>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Yöntem</w:t>
            </w:r>
          </w:p>
        </w:tc>
        <w:tc>
          <w:tcPr>
            <w:tcW w:type="dxa" w:w="1800"/>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Doğruluk</w:t>
            </w:r>
          </w:p>
        </w:tc>
        <w:tc>
          <w:tcPr>
            <w:tcW w:type="dxa" w:w="2560"/>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Alan</w:t>
            </w:r>
          </w:p>
        </w:tc>
      </w:tr>
      <w:tr>
        <w:tc>
          <w:tcPr>
            <w:tcW w:type="dxa" w:w="30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Khuat &amp; Le (2018)</w:t>
            </w:r>
          </w:p>
        </w:tc>
        <w:tc>
          <w:tcPr>
            <w:tcW w:type="dxa" w:w="20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Hibrit ABC-PSO</w:t>
            </w:r>
          </w:p>
        </w:tc>
        <w:tc>
          <w:tcPr>
            <w:tcW w:type="dxa" w:w="18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MMRE↓</w:t>
            </w:r>
          </w:p>
        </w:tc>
        <w:tc>
          <w:tcPr>
            <w:tcW w:type="dxa" w:w="256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Yazılım Tahmin</w:t>
            </w:r>
          </w:p>
        </w:tc>
      </w:tr>
      <w:tr>
        <w:tc>
          <w:tcPr>
            <w:tcW w:type="dxa" w:w="30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Carbo-Valverde vd. (2020)</w:t>
            </w:r>
          </w:p>
        </w:tc>
        <w:tc>
          <w:tcPr>
            <w:tcW w:type="dxa" w:w="20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Random Forest</w:t>
            </w:r>
          </w:p>
        </w:tc>
        <w:tc>
          <w:tcPr>
            <w:tcW w:type="dxa" w:w="18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%88.41</w:t>
            </w:r>
          </w:p>
        </w:tc>
        <w:tc>
          <w:tcPr>
            <w:tcW w:type="dxa" w:w="256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Bankacılık Dijitalizasyon</w:t>
            </w:r>
          </w:p>
        </w:tc>
      </w:tr>
      <w:tr>
        <w:tc>
          <w:tcPr>
            <w:tcW w:type="dxa" w:w="30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Liébana-Cabanillas vd. (2024)</w:t>
            </w:r>
          </w:p>
        </w:tc>
        <w:tc>
          <w:tcPr>
            <w:tcW w:type="dxa" w:w="20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RF + Boruta</w:t>
            </w:r>
          </w:p>
        </w:tc>
        <w:tc>
          <w:tcPr>
            <w:tcW w:type="dxa" w:w="18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%89+</w:t>
            </w:r>
          </w:p>
        </w:tc>
        <w:tc>
          <w:tcPr>
            <w:tcW w:type="dxa" w:w="256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Mobil P2P Ödeme</w:t>
            </w:r>
          </w:p>
        </w:tc>
      </w:tr>
      <w:tr>
        <w:tc>
          <w:tcPr>
            <w:tcW w:type="dxa" w:w="30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Hassan vd. (2025)</w:t>
            </w:r>
          </w:p>
        </w:tc>
        <w:tc>
          <w:tcPr>
            <w:tcW w:type="dxa" w:w="20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RF, XGBoost</w:t>
            </w:r>
          </w:p>
        </w:tc>
        <w:tc>
          <w:tcPr>
            <w:tcW w:type="dxa" w:w="18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%90+</w:t>
            </w:r>
          </w:p>
        </w:tc>
        <w:tc>
          <w:tcPr>
            <w:tcW w:type="dxa" w:w="256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FinTech Kullanıcı</w:t>
            </w:r>
          </w:p>
        </w:tc>
      </w:tr>
      <w:tr>
        <w:tc>
          <w:tcPr>
            <w:tcW w:type="dxa" w:w="30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Şenel vd. (2025)</w:t>
            </w:r>
          </w:p>
        </w:tc>
        <w:tc>
          <w:tcPr>
            <w:tcW w:type="dxa" w:w="20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PSO/ABC-CNN</w:t>
            </w:r>
          </w:p>
        </w:tc>
        <w:tc>
          <w:tcPr>
            <w:tcW w:type="dxa" w:w="18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%85</w:t>
            </w:r>
          </w:p>
        </w:tc>
        <w:tc>
          <w:tcPr>
            <w:tcW w:type="dxa" w:w="256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Galaksi Sınıf.</w:t>
            </w:r>
          </w:p>
        </w:tc>
      </w:tr>
      <w:tr>
        <w:tc>
          <w:tcPr>
            <w:tcW w:type="dxa" w:w="30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Kılıçarslan (2022)</w:t>
            </w:r>
          </w:p>
        </w:tc>
        <w:tc>
          <w:tcPr>
            <w:tcW w:type="dxa" w:w="20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PSO+GWO-CNN</w:t>
            </w:r>
          </w:p>
        </w:tc>
        <w:tc>
          <w:tcPr>
            <w:tcW w:type="dxa" w:w="18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%94+</w:t>
            </w:r>
          </w:p>
        </w:tc>
        <w:tc>
          <w:tcPr>
            <w:tcW w:type="dxa" w:w="256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Kardiyovasküler</w:t>
            </w:r>
          </w:p>
        </w:tc>
      </w:tr>
      <w:tr>
        <w:tc>
          <w:tcPr>
            <w:tcW w:type="dxa" w:w="30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Lakra vd. (2022)</w:t>
            </w:r>
          </w:p>
        </w:tc>
        <w:tc>
          <w:tcPr>
            <w:tcW w:type="dxa" w:w="20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PSO-RF</w:t>
            </w:r>
          </w:p>
        </w:tc>
        <w:tc>
          <w:tcPr>
            <w:tcW w:type="dxa" w:w="18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İyileşme</w:t>
            </w:r>
          </w:p>
        </w:tc>
        <w:tc>
          <w:tcPr>
            <w:tcW w:type="dxa" w:w="256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El Yazısı Tanıma</w:t>
            </w:r>
          </w:p>
        </w:tc>
      </w:tr>
      <w:tr>
        <w:tc>
          <w:tcPr>
            <w:tcW w:type="dxa" w:w="30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Al-Otaibi vd. (2025)</w:t>
            </w:r>
          </w:p>
        </w:tc>
        <w:tc>
          <w:tcPr>
            <w:tcW w:type="dxa" w:w="20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RF + SHAP/LIME</w:t>
            </w:r>
          </w:p>
        </w:tc>
        <w:tc>
          <w:tcPr>
            <w:tcW w:type="dxa" w:w="18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%95</w:t>
            </w:r>
          </w:p>
        </w:tc>
        <w:tc>
          <w:tcPr>
            <w:tcW w:type="dxa" w:w="256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Dolandırıcılık Tespiti</w:t>
            </w:r>
          </w:p>
        </w:tc>
      </w:tr>
      <w:tr>
        <w:tc>
          <w:tcPr>
            <w:tcW w:type="dxa" w:w="30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Kocatepe vd. (2022)</w:t>
            </w:r>
          </w:p>
        </w:tc>
        <w:tc>
          <w:tcPr>
            <w:tcW w:type="dxa" w:w="20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RF + GridSearch</w:t>
            </w:r>
          </w:p>
        </w:tc>
        <w:tc>
          <w:tcPr>
            <w:tcW w:type="dxa" w:w="180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%94.04</w:t>
            </w:r>
          </w:p>
        </w:tc>
        <w:tc>
          <w:tcPr>
            <w:tcW w:type="dxa" w:w="2560"/>
            <w:shd w:fill="EAF0FB" w:val="clear"/>
            <w:tcMar>
              <w:top w:type="dxa" w:w="60"/>
              <w:left w:type="dxa" w:w="120"/>
              <w:bottom w:type="dxa" w:w="60"/>
              <w:right w:type="dxa" w:w="120"/>
            </w:tcMar>
          </w:tcPr>
          <w:p>
            <w:r>
              <w:rPr>
                <w:rFonts w:ascii="Times New Roman" w:cs="Times New Roman" w:eastAsia="Times New Roman" w:hAnsi="Times New Roman"/>
                <w:sz w:val="20"/>
                <w:szCs w:val="20"/>
              </w:rPr>
              <w:t xml:space="preserve">Banka Mevduatı</w:t>
            </w:r>
          </w:p>
        </w:tc>
      </w:tr>
      <w:tr>
        <w:tc>
          <w:tcPr>
            <w:tcW w:type="dxa" w:w="30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Yang &amp; Shami (2020)</w:t>
            </w:r>
          </w:p>
        </w:tc>
        <w:tc>
          <w:tcPr>
            <w:tcW w:type="dxa" w:w="20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PSO vs Grid</w:t>
            </w:r>
          </w:p>
        </w:tc>
        <w:tc>
          <w:tcPr>
            <w:tcW w:type="dxa" w:w="180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%4-8↑</w:t>
            </w:r>
          </w:p>
        </w:tc>
        <w:tc>
          <w:tcPr>
            <w:tcW w:type="dxa" w:w="2560"/>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Genel HPO</w:t>
            </w:r>
          </w:p>
        </w:tc>
      </w:tr>
    </w:tbl>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6" w:space="1"/>
      </w:pBd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jc w:val="right"/>
    </w:pPr>
    <w:r>
      <w:rPr>
        <w:rFonts w:ascii="Times New Roman" w:cs="Times New Roman" w:eastAsia="Times New Roman" w:hAnsi="Times New Roman"/>
        <w:i/>
        <w:iCs/>
        <w:color w:val="444444"/>
        <w:sz w:val="18"/>
        <w:szCs w:val="18"/>
      </w:rPr>
      <w:t xml:space="preserve">Hibrit ABC-PSO ile Optimize Edilmiş RF: Dijital Ödeme Tercihlerinde Literatür Taraması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09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2026-04-18T18:22:44.762Z</dcterms:created>
  <dcterms:modified xsi:type="dcterms:W3CDTF">2026-04-18T18:22:44.763Z</dcterms:modified>
</cp:coreProperties>
</file>

<file path=docProps/custom.xml><?xml version="1.0" encoding="utf-8"?>
<Properties xmlns="http://schemas.openxmlformats.org/officeDocument/2006/custom-properties" xmlns:vt="http://schemas.openxmlformats.org/officeDocument/2006/docPropsVTypes"/>
</file>