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provided code is a React functional component named Footer, representing the footer section of a web page. This component uses Tailwind CSS for styling and includes various sections with links and information.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35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Statement: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component starts with an import statement to include a CSS file named 'Footer.css', suggesting additional styling for the footer.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Footer Component: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Footer component is a functional component that returns JSX code for the footer section of a webpage.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Structure and Styling: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footer has a full-width (w-full) background with the color 'bg-slate-900'.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content is contained within a responsive grid (grid) with different column layouts based on the screen size (lg:grid-cols-4, sm:grid-cols-2, grid-cols-2).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Sectional Links: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footer is divided into four sections, each represented by an unordered list (&lt;ul&gt;) containing list items (&lt;li&gt;) with links.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section has a heading (&lt;h2&gt;) with a white color and larger font size.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Links within each section are styled with hover effects, including underlining and color changes.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Horizontal Line: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horizontal line (&lt;hr /&gt;) is added after the sections for visual separation.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Copyright and Social Links: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copyright information (&amp;copy; {new Date().getFullYear()} Ecera System™. All Rights Reserved.) is displayed at the bottom.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Social media links (e.g., GitHub) are present with corresponding icons and hover effects.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Responsive Layout: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layout is responsive, adapting the number of columns based on the screen size (using Tailwind CSS responsive classes).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External Links: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Some links are external, leading to the Ecera System website and GitHub.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