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Google Sign In:               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https://citria.org/sign-in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89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17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provided code represents a React component named GoogleSignIn. This component facilitates the integration of Google Sign-In functionality into a React application. Here is a breakdown of its key features and functionalities: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component imports necessary modules and components, including React hooks (useEffect, useState, useContext), external libraries (gapi-script for Google API integration, axios for HTTP requests), and a custom spinner component (SpinnerBtn).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 Initialization: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component uses the useState hook to manage the state of loading, indicating whether the Google Sign-In process is in progress.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Context and Navigation: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component utilizes the useContext hook to access the application context, allowing it to interact with shared state and functions.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useNavigate hook is used for programmatic navigation within the application.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Effect Hook for Google Sign-In SDK: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useEffect hook is employed to dynamically load the Google Sign-In SDK script (https://apis.google.com/js/platform.js) when the component mounts.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Google Sign-In Handling: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handleLogin function is triggered when the user clicks the Google Sign-In button. It initializes the Google Sign-In API, performs user authentication, retrieves the user's Google profile information, and sends the id_token to the server for verification.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Server Communication: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component uses Axios to make a POST request to the server endpoint (/user/google-sign-in) with the Google id_token.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Upon successful authentication, the server responds with an auth_token that is stored in local storage, indicating the user is logged 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UI Rendering: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component renders a Google Sign-In button with the Google logo.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During the Google Sign-In process, a loading spinner (SpinnerBtn) is displayed.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Conditional Styling: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button's styling is adjusted based on the loading state to provide visual feedback to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GoogleSignIn component encapsulates the logic required to implement Google Sign-In in a React application. It combines React hooks, the Google Sign-In SDK, and Axios for seamless authentication with Google.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sign-i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