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Reward            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https://citria.org/profile/my-reward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provided React component is named MyReward. Below is an overview of its key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Component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Imports: The component imports necessary dependencies such as React, an image (rewardImage), the contextProvider for state management, useNavigate from 'react-router-dom' for navigation, and a custom hook useGetRewards to fetch reward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State Management: The component uses useState to manage local state variables like rewardInput.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Call: The component makes use of the Axios library to perform a POST request to the backend API (/reward) for adding a reward.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JSX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HTML Structure: The component renders a set of div elements styled using inline CSS. It includes a header, reward information, redeem button, and an "Explore More" button.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Conditional Rendering: The component conditionally displays the user's reward points, fetching data using the useGetRewards hook.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Navigation: The "Explore More" button triggers navigation to the "/profile/course" route using the useNavigate hook.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Styling: Inline styles using the JavaScript object styles define the appearance of various elements, such as background image, position, and font styles.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Functionality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Reward Addition: The component allows users to input a reward value (rewardInput) and submit it. The handleAddReward function sends a POST request to the server to add the specified reward.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Toasts: Toast messages are displayed based on the success or failure of the reward addition operation.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Visual Design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Background Image: The component uses a background image (specified by rewardImage) to enhance visual appeal.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Earn Text: A prominent "Don't just spend, Earn!" text is displayed above the background image.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External Dependencies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VITE_API_V1_URL: The component references import.meta.env.VITE_API_V1_URL to form the API endpoint dynamically.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profile/my-rewar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