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Preparing the Application for Production Deployment: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Optimize Code: Ensure your code is optimized for production by removing any debug code, console logs, and unnecessary dependencies. Minimize the size of assets (e.g., images, JavaScript, CSS) and consider code splitting for large applications.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Environment Configuration: Use environment variables to store sensitive information such as API keys, database credentials, and configuration settings. This ensures security and allows you to change configurations easily between different environments (e.g., development, production).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Security: Implement security best practices, including data validation, encryption, and protection against common web vulnerabilities like Cross-Site Scripting (XSS), Cross-Site Request Forgery (CSRF), and SQL Injection.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Database Optimization: Optimize your database queries and ensure indexes are properly set up. Consider database scaling options if your application experiences high traffic.</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Logging and Monitoring: Implement logging and monitoring solutions to track application performance, errors, and user behavior. Tools like Prometheus, Grafana, and Sentry can help in this regard.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Testing: Thoroughly test your application, including unit testing, integration testing, and user acceptance testing. Automate tests to ensure consistent results.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Documentation: Create comprehensive documentation for your application, including installation instructions, API documentation, and troubleshooting guides.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Deploying to Cloud Platforms: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Choose a Cloud Provider: Select a cloud provider that best suits your application's needs. Heroku, AWS, and Netlify are popular choices, but there are many others, including Google Cloud Platform (GCP), Microsoft Azure, and DigitalOcean.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Set Up Accounts: Create accounts or sign up for the chosen cloud provider's services if you haven't already. Set up billing and access controls.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Containerization (Optional): Containerize your application using technologies like Docker if necessary. This can make it easier to deploy and scale your application.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Continuous Integration/Continuous Deployment (CI/CD): Implement a CI/CD pipeline to automate the deployment process. Services like Travis CI, CircleCI, Jenkins, or GitHub Actions can help automate code builds, tests, and deployments.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Provision Resources: Create and configure the necessary resources, such as virtual machines, databases, storage, and networking, according to your application's requirements.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Deployment Configuration: Configure your deployment settings, such as environment variables, database connections, and security groups.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Deploy Application: Use the cloud provider's tools or CLI commands to deploy your application. Ensure you're deploying the production-ready code.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Domain and SSL: If your application uses a custom domain, set up DNS records to point to your cloud resources. Configure SSL certificates to enable HTTPS for secure communication.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Scaling: Configure auto-scaling rules to handle traffic spikes. Different cloud providers offer various scaling options, including horizontal and vertical scaling.</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Monitoring and Alerts: Set up monitoring and alerting tools to track the health and performance of your application. Configure alerts for critical events.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Backup and Recovery: Implement backup and disaster recovery strategies to protect your data and ensure business continuity.</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Load Balancing (if applicable): Configure load balancers to distribute traffic across multiple instances for high availability and fault tolerance.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Security Groups and Firewalls: Configure network security groups or firewalls to restrict access to your application and services.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Cost Monitoring: Monitor your cloud usage and costs to ensure efficient resource allocation.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Scaling Down (if necessary): If your application experiences reduced traffic, consider scaling down resources to save costs.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Ongoing Maintenance: Regularly update dependencies, apply security patches, and perform routine maintenance to keep your application secure and performant.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