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DB0" w:rsidRPr="00437DB0" w:rsidRDefault="00437DB0" w:rsidP="00437DB0">
      <w:pPr>
        <w:keepNext/>
        <w:overflowPunct w:val="0"/>
        <w:autoSpaceDE w:val="0"/>
        <w:autoSpaceDN w:val="0"/>
        <w:adjustRightInd w:val="0"/>
        <w:spacing w:before="240" w:after="360" w:line="240" w:lineRule="auto"/>
        <w:jc w:val="center"/>
        <w:textAlignment w:val="baseline"/>
        <w:outlineLvl w:val="0"/>
        <w:rPr>
          <w:rFonts w:ascii="Arial" w:eastAsia="Times New Roman" w:hAnsi="Arial" w:cs="Times New Roman"/>
          <w:b/>
          <w:kern w:val="28"/>
          <w:sz w:val="24"/>
          <w:szCs w:val="20"/>
          <w:lang w:val="ru-RU" w:eastAsia="ru-RU"/>
        </w:rPr>
      </w:pPr>
      <w:r w:rsidRPr="00437DB0">
        <w:rPr>
          <w:rFonts w:ascii="Arial" w:eastAsia="Times New Roman" w:hAnsi="Arial" w:cs="Times New Roman"/>
          <w:b/>
          <w:kern w:val="28"/>
          <w:sz w:val="24"/>
          <w:szCs w:val="24"/>
          <w:lang w:val="ru-RU" w:eastAsia="ru-RU"/>
        </w:rPr>
        <w:t>РАСЧЕТ ТЕРМИЧЕСКОЙ СТОЙКОСТИ ОКГТ</w:t>
      </w:r>
      <w:r w:rsidRPr="00437DB0">
        <w:rPr>
          <w:rFonts w:ascii="Arial" w:eastAsia="Times New Roman" w:hAnsi="Arial" w:cs="Times New Roman"/>
          <w:b/>
          <w:kern w:val="28"/>
          <w:sz w:val="24"/>
          <w:szCs w:val="20"/>
          <w:lang w:val="ru-RU" w:eastAsia="ru-RU"/>
        </w:rPr>
        <w:t xml:space="preserve"> </w:t>
      </w:r>
    </w:p>
    <w:p w:rsidR="00437DB0" w:rsidRPr="00437DB0" w:rsidRDefault="00437DB0" w:rsidP="00437DB0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Arial" w:eastAsia="Times New Roman" w:hAnsi="Arial" w:cs="Times New Roman"/>
          <w:sz w:val="24"/>
          <w:szCs w:val="20"/>
          <w:lang w:val="ru-RU" w:eastAsia="ru-RU"/>
        </w:rPr>
      </w:pPr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ОКГТ должны обладать термической стойкостью к воздействию токов однофазного </w:t>
      </w:r>
      <w:proofErr w:type="gramStart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КЗ</w:t>
      </w:r>
      <w:proofErr w:type="gramEnd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 рассматриваемых ВЛ 330 </w:t>
      </w:r>
      <w:proofErr w:type="spellStart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кВ.</w:t>
      </w:r>
      <w:proofErr w:type="spellEnd"/>
    </w:p>
    <w:p w:rsidR="00437DB0" w:rsidRPr="00437DB0" w:rsidRDefault="00437DB0" w:rsidP="00437DB0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Arial" w:eastAsia="Times New Roman" w:hAnsi="Arial" w:cs="Times New Roman"/>
          <w:sz w:val="24"/>
          <w:szCs w:val="20"/>
          <w:lang w:val="ru-RU" w:eastAsia="ru-RU"/>
        </w:rPr>
      </w:pPr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Расчет термического воздействия токов </w:t>
      </w:r>
      <w:proofErr w:type="gramStart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КЗ</w:t>
      </w:r>
      <w:proofErr w:type="gramEnd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 на ОКГТ выполняется на основе решения трех основных задач:</w:t>
      </w:r>
    </w:p>
    <w:p w:rsidR="00437DB0" w:rsidRPr="00437DB0" w:rsidRDefault="00437DB0" w:rsidP="00437DB0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Arial" w:eastAsia="Times New Roman" w:hAnsi="Arial" w:cs="Times New Roman"/>
          <w:sz w:val="24"/>
          <w:szCs w:val="20"/>
          <w:lang w:val="ru-RU" w:eastAsia="ru-RU"/>
        </w:rPr>
      </w:pPr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- определение тока, протекающего по ОКГТ в режиме однофазного короткого замыкания на землю;</w:t>
      </w:r>
    </w:p>
    <w:p w:rsidR="00437DB0" w:rsidRPr="00437DB0" w:rsidRDefault="00437DB0" w:rsidP="00437DB0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Arial" w:eastAsia="Times New Roman" w:hAnsi="Arial" w:cs="Times New Roman"/>
          <w:sz w:val="24"/>
          <w:szCs w:val="20"/>
          <w:lang w:val="ru-RU" w:eastAsia="ru-RU"/>
        </w:rPr>
      </w:pPr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- определение теплового импульса, создаваемого в ОКГТ при протекании по нему тока в режиме однофазного короткого замыкания на землю с учетом времени отключения линии устройствами РЗА;</w:t>
      </w:r>
    </w:p>
    <w:p w:rsidR="00437DB0" w:rsidRPr="00437DB0" w:rsidRDefault="00437DB0" w:rsidP="00437DB0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Arial" w:eastAsia="Times New Roman" w:hAnsi="Arial" w:cs="Times New Roman"/>
          <w:sz w:val="24"/>
          <w:szCs w:val="20"/>
          <w:lang w:val="ru-RU" w:eastAsia="ru-RU"/>
        </w:rPr>
      </w:pPr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- выбор дополнительных мероприятий,</w:t>
      </w:r>
      <w:r w:rsidRPr="00437DB0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в случае необходимости, по снижению величины тока однофазного короткого замыкания на землю, протекающего по ОКГТ.</w:t>
      </w:r>
    </w:p>
    <w:p w:rsidR="00437DB0" w:rsidRPr="00437DB0" w:rsidRDefault="00437DB0" w:rsidP="00437DB0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Arial" w:eastAsia="Times New Roman" w:hAnsi="Arial" w:cs="Times New Roman"/>
          <w:sz w:val="24"/>
          <w:szCs w:val="20"/>
          <w:lang w:val="ru-RU" w:eastAsia="ru-RU"/>
        </w:rPr>
      </w:pPr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Расчет тока, протекающего по ОКГТ и теплового импульса, выделяющегося в ОКГТ в режиме однофазного короткого замыкания на землю, а также выбор необходимых дополнительных мероприятий по обеспечению термической стойкости производится на основе методики защиты волоконно-оптических линий связи от термического влияния </w:t>
      </w:r>
      <w:proofErr w:type="gramStart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ВЛ</w:t>
      </w:r>
      <w:proofErr w:type="gramEnd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 («Методические указания по защите линий связи от опасных и мешающих влияний линий электропередачи и грозовых воздействий». РД</w:t>
      </w:r>
      <w:r w:rsidRPr="00437DB0">
        <w:rPr>
          <w:rFonts w:ascii="Arial" w:eastAsia="Times New Roman" w:hAnsi="Arial" w:cs="Times New Roman"/>
          <w:sz w:val="24"/>
          <w:szCs w:val="20"/>
          <w:lang w:eastAsia="ru-RU"/>
        </w:rPr>
        <w:t> </w:t>
      </w:r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РБ</w:t>
      </w:r>
      <w:r w:rsidRPr="00437DB0">
        <w:rPr>
          <w:rFonts w:ascii="Arial" w:eastAsia="Times New Roman" w:hAnsi="Arial" w:cs="Times New Roman"/>
          <w:sz w:val="24"/>
          <w:szCs w:val="20"/>
          <w:lang w:eastAsia="ru-RU"/>
        </w:rPr>
        <w:t> </w:t>
      </w:r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09110.48.5-00. </w:t>
      </w:r>
      <w:proofErr w:type="gramStart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Минск, </w:t>
      </w:r>
      <w:smartTag w:uri="urn:schemas-microsoft-com:office:smarttags" w:element="metricconverter">
        <w:smartTagPr>
          <w:attr w:name="ProductID" w:val="2000 г"/>
        </w:smartTagPr>
        <w:r w:rsidRPr="00437DB0">
          <w:rPr>
            <w:rFonts w:ascii="Arial" w:eastAsia="Times New Roman" w:hAnsi="Arial" w:cs="Times New Roman"/>
            <w:sz w:val="24"/>
            <w:szCs w:val="20"/>
            <w:lang w:val="ru-RU" w:eastAsia="ru-RU"/>
          </w:rPr>
          <w:t>2000 г</w:t>
        </w:r>
      </w:smartTag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.)</w:t>
      </w:r>
      <w:r w:rsidRPr="00437DB0">
        <w:rPr>
          <w:rFonts w:ascii="Arial" w:eastAsia="Times New Roman" w:hAnsi="Arial" w:cs="Times New Roman"/>
          <w:b/>
          <w:sz w:val="24"/>
          <w:szCs w:val="20"/>
          <w:lang w:val="ru-RU" w:eastAsia="ru-RU"/>
        </w:rPr>
        <w:t xml:space="preserve"> </w:t>
      </w:r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по программе расчёта, разработанной РУП "</w:t>
      </w:r>
      <w:proofErr w:type="spellStart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Белэнергосетьпроект</w:t>
      </w:r>
      <w:proofErr w:type="spellEnd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", и соответствует требованиям «Правил проектирования, строительства и эксплуатации ВОЛС на воздушных линиях электропередачи напряжением 35 </w:t>
      </w:r>
      <w:proofErr w:type="spellStart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кВ</w:t>
      </w:r>
      <w:proofErr w:type="spellEnd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 и выше», Москва, 2014 г.</w:t>
      </w:r>
      <w:proofErr w:type="gramEnd"/>
    </w:p>
    <w:p w:rsidR="00437DB0" w:rsidRPr="00437DB0" w:rsidRDefault="00437DB0" w:rsidP="00FF5BB6">
      <w:pPr>
        <w:pStyle w:val="21"/>
        <w:rPr>
          <w:lang w:val="ru-RU" w:eastAsia="ru-RU"/>
        </w:rPr>
      </w:pPr>
      <w:r w:rsidRPr="00437DB0">
        <w:rPr>
          <w:lang w:val="ru-RU" w:eastAsia="ru-RU"/>
        </w:rPr>
        <w:t>Общие положения по расчету</w:t>
      </w:r>
    </w:p>
    <w:p w:rsidR="00437DB0" w:rsidRPr="00437DB0" w:rsidRDefault="00437DB0" w:rsidP="00437DB0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Arial" w:eastAsia="Times New Roman" w:hAnsi="Arial" w:cs="Times New Roman"/>
          <w:sz w:val="24"/>
          <w:szCs w:val="20"/>
          <w:lang w:val="ru-RU" w:eastAsia="ru-RU"/>
        </w:rPr>
      </w:pPr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По условию термической стойкости тепловое воздействие токов </w:t>
      </w:r>
      <w:proofErr w:type="gramStart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КЗ</w:t>
      </w:r>
      <w:proofErr w:type="gramEnd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  на ОКГТ определяется величиной теплового импульса, которая показывает ток какой величины и в течение какого времени может протекать по ОКГТ, не вызывая его термического повреждения. Тепловой импульс </w:t>
      </w:r>
      <w:proofErr w:type="spellStart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расчитывается</w:t>
      </w:r>
      <w:proofErr w:type="spellEnd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 по формуле</w:t>
      </w:r>
    </w:p>
    <w:p w:rsidR="00437DB0" w:rsidRPr="00437DB0" w:rsidRDefault="00437DB0" w:rsidP="00437DB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Times New Roman"/>
          <w:sz w:val="24"/>
          <w:szCs w:val="20"/>
          <w:lang w:val="ru-RU" w:eastAsia="ru-RU"/>
        </w:rPr>
      </w:pPr>
      <w:r w:rsidRPr="00437DB0">
        <w:rPr>
          <w:rFonts w:ascii="Arial" w:eastAsia="Times New Roman" w:hAnsi="Arial" w:cs="Times New Roman"/>
          <w:position w:val="-12"/>
          <w:sz w:val="24"/>
          <w:szCs w:val="20"/>
          <w:lang w:val="ru-RU" w:eastAsia="ru-RU"/>
        </w:rPr>
        <w:object w:dxaOrig="14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21.75pt" o:ole="">
            <v:imagedata r:id="rId9" o:title=""/>
          </v:shape>
          <o:OLEObject Type="Embed" ProgID="Equation.DSMT4" ShapeID="_x0000_i1025" DrawAspect="Content" ObjectID="_1678793948" r:id="rId10"/>
        </w:object>
      </w:r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, А</w:t>
      </w:r>
      <w:proofErr w:type="gramStart"/>
      <w:r w:rsidRPr="00437DB0">
        <w:rPr>
          <w:rFonts w:ascii="Arial" w:eastAsia="Times New Roman" w:hAnsi="Arial" w:cs="Times New Roman"/>
          <w:sz w:val="24"/>
          <w:szCs w:val="20"/>
          <w:vertAlign w:val="superscript"/>
          <w:lang w:val="ru-RU" w:eastAsia="ru-RU"/>
        </w:rPr>
        <w:t>2</w:t>
      </w:r>
      <w:proofErr w:type="gramEnd"/>
      <w:r w:rsidRPr="00437DB0">
        <w:rPr>
          <w:rFonts w:ascii="Arial" w:eastAsia="Times New Roman" w:hAnsi="Arial" w:cs="Arial"/>
          <w:sz w:val="24"/>
          <w:szCs w:val="20"/>
          <w:lang w:val="ru-RU" w:eastAsia="ru-RU"/>
        </w:rPr>
        <w:t>∙</w:t>
      </w:r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с,</w:t>
      </w:r>
    </w:p>
    <w:p w:rsidR="00437DB0" w:rsidRPr="00437DB0" w:rsidRDefault="00437DB0" w:rsidP="00437DB0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Arial" w:eastAsia="Times New Roman" w:hAnsi="Arial" w:cs="Times New Roman"/>
          <w:sz w:val="24"/>
          <w:szCs w:val="20"/>
          <w:lang w:val="ru-RU" w:eastAsia="ru-RU"/>
        </w:rPr>
      </w:pPr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где </w:t>
      </w:r>
      <w:proofErr w:type="gramStart"/>
      <w:r w:rsidRPr="00437DB0">
        <w:rPr>
          <w:rFonts w:ascii="Arial" w:eastAsia="Times New Roman" w:hAnsi="Arial" w:cs="Times New Roman"/>
          <w:i/>
          <w:sz w:val="24"/>
          <w:szCs w:val="20"/>
          <w:lang w:eastAsia="ru-RU"/>
        </w:rPr>
        <w:t>I</w:t>
      </w:r>
      <w:proofErr w:type="gramEnd"/>
      <w:r w:rsidRPr="00437DB0">
        <w:rPr>
          <w:rFonts w:ascii="Arial" w:eastAsia="Times New Roman" w:hAnsi="Arial" w:cs="Times New Roman"/>
          <w:i/>
          <w:sz w:val="24"/>
          <w:szCs w:val="20"/>
          <w:vertAlign w:val="subscript"/>
          <w:lang w:val="ru-RU" w:eastAsia="ru-RU"/>
        </w:rPr>
        <w:t>ОКГТ</w:t>
      </w:r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 – величина тока ОКЗ, протекающая по ОКГТ;</w:t>
      </w:r>
    </w:p>
    <w:p w:rsidR="00437DB0" w:rsidRPr="00437DB0" w:rsidRDefault="00437DB0" w:rsidP="00437DB0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Arial" w:eastAsia="Times New Roman" w:hAnsi="Arial" w:cs="Times New Roman"/>
          <w:sz w:val="24"/>
          <w:szCs w:val="20"/>
          <w:lang w:val="ru-RU" w:eastAsia="ru-RU"/>
        </w:rPr>
      </w:pPr>
      <w:r w:rsidRPr="00437DB0">
        <w:rPr>
          <w:rFonts w:ascii="Arial" w:eastAsia="Times New Roman" w:hAnsi="Arial" w:cs="Times New Roman"/>
          <w:i/>
          <w:sz w:val="24"/>
          <w:szCs w:val="20"/>
          <w:lang w:eastAsia="ru-RU"/>
        </w:rPr>
        <w:t>t</w:t>
      </w:r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 – </w:t>
      </w:r>
      <w:proofErr w:type="gramStart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время</w:t>
      </w:r>
      <w:proofErr w:type="gramEnd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 протекания тока ОКЗ.</w:t>
      </w:r>
    </w:p>
    <w:p w:rsidR="00437DB0" w:rsidRPr="00437DB0" w:rsidRDefault="00437DB0" w:rsidP="00437DB0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Arial" w:eastAsia="Times New Roman" w:hAnsi="Arial" w:cs="Times New Roman"/>
          <w:sz w:val="24"/>
          <w:szCs w:val="20"/>
          <w:lang w:val="ru-RU" w:eastAsia="ru-RU"/>
        </w:rPr>
      </w:pPr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Для определения величины тока ОКЗ, протекающего по ОКГТ, в расчете рассматривается случай замыкания одной фазы </w:t>
      </w:r>
      <w:proofErr w:type="gramStart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ВЛ</w:t>
      </w:r>
      <w:proofErr w:type="gramEnd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 на тело каждой опоры. При этом ток, протекающий по ОКГТ в одном направлении, определяется как разница между полным током ОКЗ, током, стекающим в землю через ЗУ опоры, и током, протекающим по ОКГТ в другом направлении.</w:t>
      </w:r>
    </w:p>
    <w:p w:rsidR="00437DB0" w:rsidRPr="00437DB0" w:rsidRDefault="00437DB0" w:rsidP="00437DB0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Arial" w:eastAsia="Times New Roman" w:hAnsi="Arial" w:cs="Times New Roman"/>
          <w:sz w:val="24"/>
          <w:szCs w:val="20"/>
          <w:lang w:val="ru-RU" w:eastAsia="ru-RU"/>
        </w:rPr>
      </w:pPr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Время протекания тока ОКЗ принимается равным времени отключения </w:t>
      </w:r>
      <w:proofErr w:type="gramStart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>ВЛ</w:t>
      </w:r>
      <w:proofErr w:type="gramEnd"/>
      <w:r w:rsidRPr="00437DB0">
        <w:rPr>
          <w:rFonts w:ascii="Arial" w:eastAsia="Times New Roman" w:hAnsi="Arial" w:cs="Times New Roman"/>
          <w:sz w:val="24"/>
          <w:szCs w:val="20"/>
          <w:lang w:val="ru-RU" w:eastAsia="ru-RU"/>
        </w:rPr>
        <w:t xml:space="preserve"> основной защитой с учетом действия АПВ с возможностью ускорения защиты от ОКЗ после АПВ.</w:t>
      </w:r>
    </w:p>
    <w:p w:rsidR="00437DB0" w:rsidRPr="00437DB0" w:rsidRDefault="00437DB0" w:rsidP="00FF5BB6">
      <w:pPr>
        <w:pStyle w:val="21"/>
        <w:rPr>
          <w:lang w:val="ru-RU" w:eastAsia="ru-RU"/>
        </w:rPr>
      </w:pPr>
      <w:r w:rsidRPr="00437DB0">
        <w:rPr>
          <w:lang w:val="ru-RU" w:eastAsia="ru-RU"/>
        </w:rPr>
        <w:t>Основные исходные данные</w:t>
      </w:r>
    </w:p>
    <w:p w:rsidR="00437DB0" w:rsidRPr="00437DB0" w:rsidRDefault="00437DB0" w:rsidP="00437DB0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lang w:val="ru-RU" w:eastAsia="ru-RU"/>
        </w:rPr>
      </w:pPr>
      <w:bookmarkStart w:id="0" w:name="_GoBack"/>
      <w:bookmarkEnd w:id="0"/>
      <w:r w:rsidRPr="00437DB0">
        <w:rPr>
          <w:rFonts w:ascii="Arial" w:eastAsia="Times New Roman" w:hAnsi="Arial" w:cs="Arial"/>
          <w:sz w:val="24"/>
          <w:szCs w:val="24"/>
          <w:lang w:val="ru-RU" w:eastAsia="ru-RU"/>
        </w:rPr>
        <w:t>Основными исходными данными для расчета теплового импульса в ОКГТ являются:</w:t>
      </w:r>
    </w:p>
    <w:p w:rsidR="00437DB0" w:rsidRPr="00437DB0" w:rsidRDefault="00437DB0" w:rsidP="00437DB0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437DB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- распределение тока ОКЗ по длине </w:t>
      </w:r>
      <w:proofErr w:type="gramStart"/>
      <w:r w:rsidRPr="00437DB0">
        <w:rPr>
          <w:rFonts w:ascii="Arial" w:eastAsia="Times New Roman" w:hAnsi="Arial" w:cs="Arial"/>
          <w:sz w:val="24"/>
          <w:szCs w:val="24"/>
          <w:lang w:val="ru-RU" w:eastAsia="ru-RU"/>
        </w:rPr>
        <w:t>ВЛ</w:t>
      </w:r>
      <w:proofErr w:type="gramEnd"/>
      <w:r w:rsidRPr="00437DB0">
        <w:rPr>
          <w:rFonts w:ascii="Arial" w:eastAsia="Times New Roman" w:hAnsi="Arial" w:cs="Arial"/>
          <w:sz w:val="24"/>
          <w:szCs w:val="24"/>
          <w:lang w:val="ru-RU" w:eastAsia="ru-RU"/>
        </w:rPr>
        <w:t>;</w:t>
      </w:r>
    </w:p>
    <w:p w:rsidR="00437DB0" w:rsidRPr="00437DB0" w:rsidRDefault="00437DB0" w:rsidP="00437DB0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437DB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- временные параметры РЗА (время отключения ОКЗ основной защитой </w:t>
      </w:r>
      <w:proofErr w:type="gramStart"/>
      <w:r w:rsidRPr="00437DB0">
        <w:rPr>
          <w:rFonts w:ascii="Arial" w:eastAsia="Times New Roman" w:hAnsi="Arial" w:cs="Arial"/>
          <w:sz w:val="24"/>
          <w:szCs w:val="24"/>
          <w:lang w:val="ru-RU" w:eastAsia="ru-RU"/>
        </w:rPr>
        <w:t>ВЛ</w:t>
      </w:r>
      <w:proofErr w:type="gramEnd"/>
      <w:r w:rsidRPr="00437DB0">
        <w:rPr>
          <w:rFonts w:ascii="Arial" w:eastAsia="Times New Roman" w:hAnsi="Arial" w:cs="Arial"/>
          <w:sz w:val="24"/>
          <w:szCs w:val="24"/>
          <w:lang w:val="ru-RU" w:eastAsia="ru-RU"/>
        </w:rPr>
        <w:t>, кратность АПВ);</w:t>
      </w:r>
    </w:p>
    <w:p w:rsidR="00437DB0" w:rsidRPr="00437DB0" w:rsidRDefault="00437DB0" w:rsidP="00437DB0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437DB0">
        <w:rPr>
          <w:rFonts w:ascii="Arial" w:eastAsia="Times New Roman" w:hAnsi="Arial" w:cs="Arial"/>
          <w:sz w:val="24"/>
          <w:szCs w:val="24"/>
          <w:lang w:val="ru-RU" w:eastAsia="ru-RU"/>
        </w:rPr>
        <w:t>- сопротивление ЗУ опор ВЛ.</w:t>
      </w:r>
    </w:p>
    <w:sectPr w:rsidR="00437DB0" w:rsidRPr="00437DB0" w:rsidSect="00511188">
      <w:footerReference w:type="even" r:id="rId11"/>
      <w:footerReference w:type="default" r:id="rId12"/>
      <w:pgSz w:w="11906" w:h="16838"/>
      <w:pgMar w:top="993" w:right="424" w:bottom="15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641" w:rsidRDefault="00365641">
      <w:pPr>
        <w:spacing w:after="0" w:line="240" w:lineRule="auto"/>
      </w:pPr>
      <w:r>
        <w:separator/>
      </w:r>
    </w:p>
  </w:endnote>
  <w:endnote w:type="continuationSeparator" w:id="0">
    <w:p w:rsidR="00365641" w:rsidRDefault="00365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717" w:rsidRDefault="008F22ED" w:rsidP="00A3703F">
    <w:pPr>
      <w:pStyle w:val="aff4"/>
      <w:framePr w:wrap="around" w:vAnchor="text" w:hAnchor="margin" w:xAlign="right" w:y="1"/>
      <w:rPr>
        <w:rStyle w:val="aff6"/>
      </w:rPr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separate"/>
    </w:r>
    <w:r>
      <w:rPr>
        <w:rStyle w:val="aff6"/>
        <w:noProof/>
      </w:rPr>
      <w:t>5</w:t>
    </w:r>
    <w:r>
      <w:rPr>
        <w:rStyle w:val="aff6"/>
      </w:rPr>
      <w:fldChar w:fldCharType="end"/>
    </w:r>
  </w:p>
  <w:p w:rsidR="00991717" w:rsidRDefault="00365641" w:rsidP="00A3703F">
    <w:pPr>
      <w:pStyle w:val="af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717" w:rsidRDefault="008F22ED" w:rsidP="00A3703F">
    <w:pPr>
      <w:pStyle w:val="aff4"/>
      <w:framePr w:wrap="around" w:vAnchor="text" w:hAnchor="page" w:x="11089" w:y="5"/>
      <w:rPr>
        <w:rStyle w:val="aff6"/>
      </w:rPr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separate"/>
    </w:r>
    <w:r w:rsidR="00FF5BB6">
      <w:rPr>
        <w:rStyle w:val="aff6"/>
        <w:noProof/>
      </w:rPr>
      <w:t>1</w:t>
    </w:r>
    <w:r>
      <w:rPr>
        <w:rStyle w:val="aff6"/>
      </w:rPr>
      <w:fldChar w:fldCharType="end"/>
    </w:r>
  </w:p>
  <w:p w:rsidR="00991717" w:rsidRDefault="00365641" w:rsidP="00A3703F">
    <w:pPr>
      <w:pStyle w:val="aff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641" w:rsidRDefault="00365641">
      <w:pPr>
        <w:spacing w:after="0" w:line="240" w:lineRule="auto"/>
      </w:pPr>
      <w:r>
        <w:separator/>
      </w:r>
    </w:p>
  </w:footnote>
  <w:footnote w:type="continuationSeparator" w:id="0">
    <w:p w:rsidR="00365641" w:rsidRDefault="00365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641"/>
    <w:rsid w:val="00437DB0"/>
    <w:rsid w:val="008F22ED"/>
    <w:rsid w:val="009A0DEE"/>
    <w:rsid w:val="00A7161A"/>
    <w:rsid w:val="00AA1D8D"/>
    <w:rsid w:val="00B47730"/>
    <w:rsid w:val="00CB0664"/>
    <w:rsid w:val="00F50120"/>
    <w:rsid w:val="00FC2FDE"/>
    <w:rsid w:val="00FC693F"/>
    <w:rsid w:val="00FF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F5BB6"/>
    <w:pPr>
      <w:keepNext/>
      <w:keepLines/>
      <w:spacing w:before="240" w:after="240" w:line="240" w:lineRule="auto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2FDE"/>
    <w:pPr>
      <w:keepNext/>
      <w:keepLines/>
      <w:spacing w:before="200" w:after="0"/>
      <w:jc w:val="center"/>
      <w:outlineLvl w:val="2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F5BB6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32">
    <w:name w:val="Заголовок 3 Знак"/>
    <w:basedOn w:val="a2"/>
    <w:link w:val="31"/>
    <w:uiPriority w:val="9"/>
    <w:rsid w:val="00FC2FDE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4">
    <w:name w:val="footer"/>
    <w:basedOn w:val="a1"/>
    <w:link w:val="aff5"/>
    <w:rsid w:val="00437DB0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ff5">
    <w:name w:val="Нижний колонтитул Знак"/>
    <w:basedOn w:val="a2"/>
    <w:link w:val="aff4"/>
    <w:rsid w:val="00437DB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ff6">
    <w:name w:val="page number"/>
    <w:basedOn w:val="a2"/>
    <w:rsid w:val="00437DB0"/>
  </w:style>
  <w:style w:type="paragraph" w:styleId="aff7">
    <w:name w:val="Balloon Text"/>
    <w:basedOn w:val="a1"/>
    <w:link w:val="aff8"/>
    <w:uiPriority w:val="99"/>
    <w:semiHidden/>
    <w:unhideWhenUsed/>
    <w:rsid w:val="0043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2"/>
    <w:link w:val="aff7"/>
    <w:uiPriority w:val="99"/>
    <w:semiHidden/>
    <w:rsid w:val="00437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F5BB6"/>
    <w:pPr>
      <w:keepNext/>
      <w:keepLines/>
      <w:spacing w:before="240" w:after="240" w:line="240" w:lineRule="auto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2FDE"/>
    <w:pPr>
      <w:keepNext/>
      <w:keepLines/>
      <w:spacing w:before="200" w:after="0"/>
      <w:jc w:val="center"/>
      <w:outlineLvl w:val="2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F5BB6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32">
    <w:name w:val="Заголовок 3 Знак"/>
    <w:basedOn w:val="a2"/>
    <w:link w:val="31"/>
    <w:uiPriority w:val="9"/>
    <w:rsid w:val="00FC2FDE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4">
    <w:name w:val="footer"/>
    <w:basedOn w:val="a1"/>
    <w:link w:val="aff5"/>
    <w:rsid w:val="00437DB0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ff5">
    <w:name w:val="Нижний колонтитул Знак"/>
    <w:basedOn w:val="a2"/>
    <w:link w:val="aff4"/>
    <w:rsid w:val="00437DB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ff6">
    <w:name w:val="page number"/>
    <w:basedOn w:val="a2"/>
    <w:rsid w:val="00437DB0"/>
  </w:style>
  <w:style w:type="paragraph" w:styleId="aff7">
    <w:name w:val="Balloon Text"/>
    <w:basedOn w:val="a1"/>
    <w:link w:val="aff8"/>
    <w:uiPriority w:val="99"/>
    <w:semiHidden/>
    <w:unhideWhenUsed/>
    <w:rsid w:val="0043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2"/>
    <w:link w:val="aff7"/>
    <w:uiPriority w:val="99"/>
    <w:semiHidden/>
    <w:rsid w:val="00437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EE7EAB-9392-4E68-8AD0-08F5397EA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Ёч Э.И.</cp:lastModifiedBy>
  <cp:revision>5</cp:revision>
  <dcterms:created xsi:type="dcterms:W3CDTF">2013-12-23T23:15:00Z</dcterms:created>
  <dcterms:modified xsi:type="dcterms:W3CDTF">2021-04-01T11:52:00Z</dcterms:modified>
  <cp:category/>
</cp:coreProperties>
</file>