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563EB"/>
          <w:sz w:val="32"/>
        </w:rPr>
        <w:t>MANDEGAR</w:t>
      </w:r>
    </w:p>
    <w:p>
      <w:pPr>
        <w:pStyle w:val="Title"/>
        <w:jc w:val="center"/>
      </w:pPr>
      <w:r>
        <w:t>Interactive Website</w:t>
        <w:br/>
        <w:t>Product &amp; Implementation Brief</w:t>
      </w:r>
    </w:p>
    <w:p>
      <w:pPr>
        <w:pStyle w:val="Lead"/>
        <w:jc w:val="center"/>
      </w:pPr>
      <w:r>
        <w:t>Persian-first • English and Arabic • CMS-driven • Lightweight immersive storytelling</w:t>
      </w:r>
    </w:p>
    <w:p>
      <w:pPr>
        <w:spacing w:before="440"/>
        <w:jc w:val="center"/>
      </w:pPr>
      <w:r>
        <w:rPr>
          <w:b/>
          <w:color w:val="6B7280"/>
          <w:sz w:val="20"/>
        </w:rPr>
        <w:t>Core idea</w:t>
      </w:r>
    </w:p>
    <w:p>
      <w:pPr>
        <w:pStyle w:val="Callout"/>
        <w:jc w:val="center"/>
      </w:pPr>
      <w:r>
        <w:t>ایده‌های خوب، خاطره‌های ماندگار می‌سازند</w:t>
      </w:r>
    </w:p>
    <w:p>
      <w:pPr>
        <w:pStyle w:val="Lead"/>
        <w:jc w:val="center"/>
      </w:pPr>
      <w:r>
        <w:t>Good ideas create lasting memories.</w:t>
      </w:r>
    </w:p>
    <w:p>
      <w:pPr>
        <w:pStyle w:val="Lead"/>
        <w:jc w:val="center"/>
      </w:pPr>
      <w:r>
        <w:t>Primary invitation: Imagine your next event.</w:t>
      </w:r>
    </w:p>
    <w:p>
      <w:pPr>
        <w:pStyle w:val="Small"/>
        <w:jc w:val="center"/>
      </w:pPr>
      <w:r>
        <w:t>Prepared as a direct build specification for a design and code generator.</w:t>
      </w:r>
    </w:p>
    <w:p>
      <w:r>
        <w:br w:type="page"/>
      </w:r>
    </w:p>
    <w:p>
      <w:pPr>
        <w:pStyle w:val="Heading1"/>
        <w:keepNext/>
      </w:pPr>
      <w:r>
        <w:t>1. Executive Summary</w:t>
      </w:r>
    </w:p>
    <w:p>
      <w:r>
        <w:t>Mandegar is a full-service experiential event company. It plans and delivers exhibitions, corporate events, interactive installations, games, photo experiences, digital content, technical production, and on-site execution from the first idea through final delivery. The website must communicate this complete capability while functioning as a live demonstration of Mandegar’s creative and technical quality.</w:t>
      </w:r>
    </w:p>
    <w:p>
      <w:r>
        <w:t>The experience begins with one small spark in a bright, minimal environment. The spark represents the original idea. As the visitor scrolls, the idea forms an event: architectural lines, stage structures, screens, content, interactions, people, and measurable impact. Abstract visual storytelling quickly transitions into authentic Mandegar project footage and case studies.</w:t>
      </w:r>
    </w:p>
    <w:p>
      <w:r>
        <w:t>The website is not a heavy 3D world. It is a fast editorial website with one selective WebGL layer, cinematic scroll choreography, real project media, and graceful fallbacks. All projects, services, homepage modules, languages, contacts, and featured content must be editable through a CMS.</w:t>
      </w:r>
    </w:p>
    <w:p>
      <w:pPr>
        <w:pStyle w:val="Heading1"/>
        <w:keepNext/>
      </w:pPr>
      <w:r>
        <w:t>2. Product Goal and Success Definition</w:t>
      </w:r>
    </w:p>
    <w:tbl>
      <w:tblPr>
        <w:tblStyle w:val="TableGrid"/>
        <w:tblW w:type="auto" w:w="0"/>
        <w:jc w:val="center"/>
        <w:tblLook w:firstColumn="1" w:firstRow="1" w:lastColumn="0" w:lastRow="0" w:noHBand="0" w:noVBand="1" w:val="04A0"/>
      </w:tblPr>
      <w:tblGrid>
        <w:gridCol w:w="5083"/>
        <w:gridCol w:w="5083"/>
      </w:tblGrid>
      <w:tr>
        <w:tc>
          <w:tcPr>
            <w:tcW w:type="dxa" w:w="5083"/>
            <w:shd w:fill="EAF1FF"/>
            <w:vAlign w:val="center"/>
            <w:tcMar>
              <w:top w:w="100" w:type="dxa"/>
              <w:start w:w="120" w:type="dxa"/>
              <w:bottom w:w="100" w:type="dxa"/>
              <w:end w:w="120" w:type="dxa"/>
            </w:tcMar>
          </w:tcPr>
          <w:p>
            <w:pPr>
              <w:spacing w:after="40"/>
            </w:pPr>
            <w:r>
              <w:rPr>
                <w:sz w:val="17"/>
              </w:rPr>
              <w:t>Goal</w:t>
            </w:r>
          </w:p>
        </w:tc>
        <w:tc>
          <w:tcPr>
            <w:tcW w:type="dxa" w:w="5083"/>
            <w:shd w:fill="EAF1FF"/>
            <w:vAlign w:val="center"/>
            <w:tcMar>
              <w:top w:w="100" w:type="dxa"/>
              <w:start w:w="120" w:type="dxa"/>
              <w:bottom w:w="100" w:type="dxa"/>
              <w:end w:w="120" w:type="dxa"/>
            </w:tcMar>
          </w:tcPr>
          <w:p>
            <w:pPr>
              <w:spacing w:after="40"/>
            </w:pPr>
            <w:r>
              <w:rPr>
                <w:sz w:val="17"/>
              </w:rPr>
              <w:t>Definition</w:t>
            </w:r>
          </w:p>
        </w:tc>
      </w:tr>
      <w:tr>
        <w:tc>
          <w:tcPr>
            <w:tcW w:type="dxa" w:w="5083"/>
            <w:tcMar>
              <w:top w:w="100" w:type="dxa"/>
              <w:start w:w="120" w:type="dxa"/>
              <w:bottom w:w="100" w:type="dxa"/>
              <w:end w:w="120" w:type="dxa"/>
            </w:tcMar>
            <w:vAlign w:val="center"/>
          </w:tcPr>
          <w:p>
            <w:pPr>
              <w:spacing w:after="40"/>
            </w:pPr>
            <w:r>
              <w:rPr>
                <w:sz w:val="17"/>
              </w:rPr>
              <w:t>Primary business goal</w:t>
            </w:r>
          </w:p>
        </w:tc>
        <w:tc>
          <w:tcPr>
            <w:tcW w:type="dxa" w:w="5083"/>
            <w:tcMar>
              <w:top w:w="100" w:type="dxa"/>
              <w:start w:w="120" w:type="dxa"/>
              <w:bottom w:w="100" w:type="dxa"/>
              <w:end w:w="120" w:type="dxa"/>
            </w:tcMar>
            <w:vAlign w:val="center"/>
          </w:tcPr>
          <w:p>
            <w:pPr>
              <w:spacing w:after="40"/>
            </w:pPr>
            <w:r>
              <w:rPr>
                <w:sz w:val="17"/>
              </w:rPr>
              <w:t>Generate qualified conversations for complete event and exhibition projects in Iran, while positioning Mandegar for projects and partnerships in Dubai and other markets.</w:t>
            </w:r>
          </w:p>
        </w:tc>
      </w:tr>
      <w:tr>
        <w:tc>
          <w:tcPr>
            <w:tcW w:type="dxa" w:w="5083"/>
            <w:tcMar>
              <w:top w:w="100" w:type="dxa"/>
              <w:start w:w="120" w:type="dxa"/>
              <w:bottom w:w="100" w:type="dxa"/>
              <w:end w:w="120" w:type="dxa"/>
            </w:tcMar>
            <w:vAlign w:val="center"/>
          </w:tcPr>
          <w:p>
            <w:pPr>
              <w:spacing w:after="40"/>
            </w:pPr>
            <w:r>
              <w:rPr>
                <w:sz w:val="17"/>
              </w:rPr>
              <w:t>Brand goal</w:t>
            </w:r>
          </w:p>
        </w:tc>
        <w:tc>
          <w:tcPr>
            <w:tcW w:type="dxa" w:w="5083"/>
            <w:tcMar>
              <w:top w:w="100" w:type="dxa"/>
              <w:start w:w="120" w:type="dxa"/>
              <w:bottom w:w="100" w:type="dxa"/>
              <w:end w:w="120" w:type="dxa"/>
            </w:tcMar>
            <w:vAlign w:val="center"/>
          </w:tcPr>
          <w:p>
            <w:pPr>
              <w:spacing w:after="40"/>
            </w:pPr>
            <w:r>
              <w:rPr>
                <w:sz w:val="17"/>
              </w:rPr>
              <w:t>Make Mandegar feel like a premium, modern, technology-enabled experience company rather than an equipment rental vendor.</w:t>
            </w:r>
          </w:p>
        </w:tc>
      </w:tr>
      <w:tr>
        <w:tc>
          <w:tcPr>
            <w:tcW w:type="dxa" w:w="5083"/>
            <w:tcMar>
              <w:top w:w="100" w:type="dxa"/>
              <w:start w:w="120" w:type="dxa"/>
              <w:bottom w:w="100" w:type="dxa"/>
              <w:end w:w="120" w:type="dxa"/>
            </w:tcMar>
            <w:vAlign w:val="center"/>
          </w:tcPr>
          <w:p>
            <w:pPr>
              <w:spacing w:after="40"/>
            </w:pPr>
            <w:r>
              <w:rPr>
                <w:sz w:val="17"/>
              </w:rPr>
              <w:t>Experience goal</w:t>
            </w:r>
          </w:p>
        </w:tc>
        <w:tc>
          <w:tcPr>
            <w:tcW w:type="dxa" w:w="5083"/>
            <w:tcMar>
              <w:top w:w="100" w:type="dxa"/>
              <w:start w:w="120" w:type="dxa"/>
              <w:bottom w:w="100" w:type="dxa"/>
              <w:end w:w="120" w:type="dxa"/>
            </w:tcMar>
            <w:vAlign w:val="center"/>
          </w:tcPr>
          <w:p>
            <w:pPr>
              <w:spacing w:after="40"/>
            </w:pPr>
            <w:r>
              <w:rPr>
                <w:sz w:val="17"/>
              </w:rPr>
              <w:t>Let the website itself prove Mandegar can turn an empty space and an idea into a memorable experience.</w:t>
            </w:r>
          </w:p>
        </w:tc>
      </w:tr>
      <w:tr>
        <w:tc>
          <w:tcPr>
            <w:tcW w:type="dxa" w:w="5083"/>
            <w:tcMar>
              <w:top w:w="100" w:type="dxa"/>
              <w:start w:w="120" w:type="dxa"/>
              <w:bottom w:w="100" w:type="dxa"/>
              <w:end w:w="120" w:type="dxa"/>
            </w:tcMar>
            <w:vAlign w:val="center"/>
          </w:tcPr>
          <w:p>
            <w:pPr>
              <w:spacing w:after="40"/>
            </w:pPr>
            <w:r>
              <w:rPr>
                <w:sz w:val="17"/>
              </w:rPr>
              <w:t>Content goal</w:t>
            </w:r>
          </w:p>
        </w:tc>
        <w:tc>
          <w:tcPr>
            <w:tcW w:type="dxa" w:w="5083"/>
            <w:tcMar>
              <w:top w:w="100" w:type="dxa"/>
              <w:start w:w="120" w:type="dxa"/>
              <w:bottom w:w="100" w:type="dxa"/>
              <w:end w:w="120" w:type="dxa"/>
            </w:tcMar>
            <w:vAlign w:val="center"/>
          </w:tcPr>
          <w:p>
            <w:pPr>
              <w:spacing w:after="40"/>
            </w:pPr>
            <w:r>
              <w:rPr>
                <w:sz w:val="17"/>
              </w:rPr>
              <w:t>Show extensive real project evidence through modular case studies, photography, video, categories, services, and outcomes.</w:t>
            </w:r>
          </w:p>
        </w:tc>
      </w:tr>
      <w:tr>
        <w:tc>
          <w:tcPr>
            <w:tcW w:type="dxa" w:w="5083"/>
            <w:tcMar>
              <w:top w:w="100" w:type="dxa"/>
              <w:start w:w="120" w:type="dxa"/>
              <w:bottom w:w="100" w:type="dxa"/>
              <w:end w:w="120" w:type="dxa"/>
            </w:tcMar>
            <w:vAlign w:val="center"/>
          </w:tcPr>
          <w:p>
            <w:pPr>
              <w:spacing w:after="40"/>
            </w:pPr>
            <w:r>
              <w:rPr>
                <w:sz w:val="17"/>
              </w:rPr>
              <w:t>Operational goal</w:t>
            </w:r>
          </w:p>
        </w:tc>
        <w:tc>
          <w:tcPr>
            <w:tcW w:type="dxa" w:w="5083"/>
            <w:tcMar>
              <w:top w:w="100" w:type="dxa"/>
              <w:start w:w="120" w:type="dxa"/>
              <w:bottom w:w="100" w:type="dxa"/>
              <w:end w:w="120" w:type="dxa"/>
            </w:tcMar>
            <w:vAlign w:val="center"/>
          </w:tcPr>
          <w:p>
            <w:pPr>
              <w:spacing w:after="40"/>
            </w:pPr>
            <w:r>
              <w:rPr>
                <w:sz w:val="17"/>
              </w:rPr>
              <w:t>Allow non-developers to add, remove, translate, reorder, feature, archive, and schedule content without code changes.</w:t>
            </w:r>
          </w:p>
        </w:tc>
      </w:tr>
      <w:tr>
        <w:tc>
          <w:tcPr>
            <w:tcW w:type="dxa" w:w="5083"/>
            <w:tcMar>
              <w:top w:w="100" w:type="dxa"/>
              <w:start w:w="120" w:type="dxa"/>
              <w:bottom w:w="100" w:type="dxa"/>
              <w:end w:w="120" w:type="dxa"/>
            </w:tcMar>
            <w:vAlign w:val="center"/>
          </w:tcPr>
          <w:p>
            <w:pPr>
              <w:spacing w:after="40"/>
            </w:pPr>
            <w:r>
              <w:rPr>
                <w:sz w:val="17"/>
              </w:rPr>
              <w:t>Performance goal</w:t>
            </w:r>
          </w:p>
        </w:tc>
        <w:tc>
          <w:tcPr>
            <w:tcW w:type="dxa" w:w="5083"/>
            <w:tcMar>
              <w:top w:w="100" w:type="dxa"/>
              <w:start w:w="120" w:type="dxa"/>
              <w:bottom w:w="100" w:type="dxa"/>
              <w:end w:w="120" w:type="dxa"/>
            </w:tcMar>
            <w:vAlign w:val="center"/>
          </w:tcPr>
          <w:p>
            <w:pPr>
              <w:spacing w:after="40"/>
            </w:pPr>
            <w:r>
              <w:rPr>
                <w:sz w:val="17"/>
              </w:rPr>
              <w:t>Deliver the visual wow factor without sacrificing fast first load, mobile usability, accessibility, SEO, or low-end-device stability.</w:t>
            </w:r>
          </w:p>
        </w:tc>
      </w:tr>
    </w:tbl>
    <w:p>
      <w:pPr>
        <w:pStyle w:val="Heading1"/>
        <w:keepNext/>
      </w:pPr>
      <w:r>
        <w:t>3. Positioning</w:t>
      </w:r>
    </w:p>
    <w:p>
      <w:pPr>
        <w:pStyle w:val="Small"/>
      </w:pPr>
      <w:r>
        <w:t>Recommended positioning statement:</w:t>
      </w:r>
    </w:p>
    <w:p>
      <w:pPr>
        <w:pStyle w:val="Callout"/>
      </w:pPr>
      <w:r>
        <w:t>From the first idea to the final impact, Mandegar creates complete events and exhibitions—and makes them memorable through interaction, technology, and content.</w:t>
      </w:r>
    </w:p>
    <w:p>
      <w:pPr>
        <w:pStyle w:val="Heading2"/>
        <w:keepNext/>
      </w:pPr>
      <w:r>
        <w:t>3.1 Audience</w:t>
      </w:r>
    </w:p>
    <w:p>
      <w:r>
        <w:t>The messaging must work for corporate brands, exhibition organizers, government and public organizations, event agencies seeking a production partner, and international clients or local partners. The content architecture should remain broad, while project categories and case studies allow each audience to find relevant proof.</w:t>
      </w:r>
    </w:p>
    <w:p>
      <w:pPr>
        <w:pStyle w:val="Heading2"/>
        <w:keepNext/>
      </w:pPr>
      <w:r>
        <w:t>3.2 International credibility</w:t>
      </w:r>
    </w:p>
    <w:p>
      <w:r>
        <w:t>Do not imply Mandegar has already delivered projects outside Iran. Present the company as Iran-based and internationally ready. State that Mandegar can lead projects directly where feasible or collaborate with trusted local production partners depending on geography, permits, logistics, and production requirements.</w:t>
      </w:r>
    </w:p>
    <w:p>
      <w:r>
        <w:t>Suggested message: “Built locally. Ready globally.”</w:t>
      </w:r>
    </w:p>
    <w:p>
      <w:pPr>
        <w:pStyle w:val="Heading1"/>
        <w:keepNext/>
      </w:pPr>
      <w:r>
        <w:t>4. Core Creative Concept</w:t>
      </w:r>
    </w:p>
    <w:p>
      <w:pPr>
        <w:pStyle w:val="Heading2"/>
        <w:keepNext/>
      </w:pPr>
      <w:r>
        <w:t>4.1 Narrative</w:t>
      </w:r>
    </w:p>
    <w:p>
      <w:r>
        <w:t>The visitor does not browse a conventional agency homepage. They experience the lifecycle of an event through one continuous transformation:</w:t>
      </w:r>
    </w:p>
    <w:p>
      <w:pPr>
        <w:ind w:left="259"/>
      </w:pPr>
      <w:r>
        <w:rPr>
          <w:b/>
          <w:color w:val="2563EB"/>
        </w:rPr>
        <w:t xml:space="preserve">Spark — </w:t>
      </w:r>
      <w:r>
        <w:t>A single point of light appears. It reacts subtly to pointer movement and scroll.</w:t>
      </w:r>
    </w:p>
    <w:p>
      <w:pPr>
        <w:ind w:left="259"/>
      </w:pPr>
      <w:r>
        <w:rPr>
          <w:b/>
          <w:color w:val="2563EB"/>
        </w:rPr>
        <w:t xml:space="preserve">Idea — </w:t>
      </w:r>
      <w:r>
        <w:t>The spark draws thin lines, words, and structures. The environment begins to take shape.</w:t>
      </w:r>
    </w:p>
    <w:p>
      <w:pPr>
        <w:ind w:left="259"/>
      </w:pPr>
      <w:r>
        <w:rPr>
          <w:b/>
          <w:color w:val="2563EB"/>
        </w:rPr>
        <w:t xml:space="preserve">Space — </w:t>
      </w:r>
      <w:r>
        <w:t>A minimal exhibition or event space assembles from architectural geometry.</w:t>
      </w:r>
    </w:p>
    <w:p>
      <w:pPr>
        <w:ind w:left="259"/>
      </w:pPr>
      <w:r>
        <w:rPr>
          <w:b/>
          <w:color w:val="2563EB"/>
        </w:rPr>
        <w:t xml:space="preserve">Experience — </w:t>
      </w:r>
      <w:r>
        <w:t>Screens, content, games, photo experiences, interactive surfaces, lighting, and audience moments activate.</w:t>
      </w:r>
    </w:p>
    <w:p>
      <w:pPr>
        <w:ind w:left="259"/>
      </w:pPr>
      <w:r>
        <w:rPr>
          <w:b/>
          <w:color w:val="2563EB"/>
        </w:rPr>
        <w:t xml:space="preserve">Proof — </w:t>
      </w:r>
      <w:r>
        <w:t>Abstract surfaces become windows into real Mandegar photography and video.</w:t>
      </w:r>
    </w:p>
    <w:p>
      <w:pPr>
        <w:ind w:left="259"/>
      </w:pPr>
      <w:r>
        <w:rPr>
          <w:b/>
          <w:color w:val="2563EB"/>
        </w:rPr>
        <w:t xml:space="preserve">Capability — </w:t>
      </w:r>
      <w:r>
        <w:t>The scene separates into service layers to show the full start-to-finish production system.</w:t>
      </w:r>
    </w:p>
    <w:p>
      <w:pPr>
        <w:ind w:left="259"/>
      </w:pPr>
      <w:r>
        <w:rPr>
          <w:b/>
          <w:color w:val="2563EB"/>
        </w:rPr>
        <w:t xml:space="preserve">Intelligence — </w:t>
      </w:r>
      <w:r>
        <w:t>Event interactions turn into visual data, insights, summaries, and future AI-assisted analytics.</w:t>
      </w:r>
    </w:p>
    <w:p>
      <w:pPr>
        <w:ind w:left="259"/>
      </w:pPr>
      <w:r>
        <w:rPr>
          <w:b/>
          <w:color w:val="2563EB"/>
        </w:rPr>
        <w:t xml:space="preserve">Impact — </w:t>
      </w:r>
      <w:r>
        <w:t>Case-study outcomes, clients, and memorable moments form a proof wall.</w:t>
      </w:r>
    </w:p>
    <w:p>
      <w:pPr>
        <w:ind w:left="259"/>
      </w:pPr>
      <w:r>
        <w:rPr>
          <w:b/>
          <w:color w:val="2563EB"/>
        </w:rPr>
        <w:t xml:space="preserve">Invitation — </w:t>
      </w:r>
      <w:r>
        <w:t>The journey resolves into a focused call to imagine the visitor’s next event with Mandegar.</w:t>
      </w:r>
    </w:p>
    <w:p>
      <w:pPr>
        <w:pStyle w:val="Heading2"/>
        <w:keepNext/>
      </w:pPr>
      <w:r>
        <w:t>4.2 Content balance</w:t>
      </w:r>
    </w:p>
    <w:p>
      <w:r>
        <w:t>Use approximately 20% abstract storytelling and 80% authentic project proof. The opening can be poetic, but real work must appear quickly. The experience must never feel like an unproven concept studio.</w:t>
      </w:r>
    </w:p>
    <w:p>
      <w:pPr>
        <w:pStyle w:val="Heading2"/>
        <w:keepNext/>
      </w:pPr>
      <w:r>
        <w:t>4.3 Mood</w:t>
      </w:r>
    </w:p>
    <w:p>
      <w:r>
        <w:t>Light, minimal, premium, optimistic, and technology-forward. The reference character is Apple-like clarity combined with Meta-like softness and spatial technology. Avoid dark cyberpunk, gaming aesthetics, excessive neon, noisy gradients, chrome overload, and generic “metaverse” visuals.</w:t>
      </w:r>
    </w:p>
    <w:p>
      <w:pPr>
        <w:pStyle w:val="Heading1"/>
        <w:keepNext/>
      </w:pPr>
      <w:r>
        <w:t>5. Information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EAF1FF"/>
            <w:vAlign w:val="center"/>
            <w:tcMar>
              <w:top w:w="100" w:type="dxa"/>
              <w:start w:w="120" w:type="dxa"/>
              <w:bottom w:w="100" w:type="dxa"/>
              <w:end w:w="120" w:type="dxa"/>
            </w:tcMar>
          </w:tcPr>
          <w:p>
            <w:pPr>
              <w:spacing w:after="40"/>
            </w:pPr>
            <w:r>
              <w:rPr>
                <w:sz w:val="17"/>
              </w:rPr>
              <w:t>Route</w:t>
            </w:r>
          </w:p>
        </w:tc>
        <w:tc>
          <w:tcPr>
            <w:tcW w:type="dxa" w:w="5083"/>
            <w:shd w:fill="EAF1FF"/>
            <w:vAlign w:val="center"/>
            <w:tcMar>
              <w:top w:w="100" w:type="dxa"/>
              <w:start w:w="120" w:type="dxa"/>
              <w:bottom w:w="100" w:type="dxa"/>
              <w:end w:w="120" w:type="dxa"/>
            </w:tcMar>
          </w:tcPr>
          <w:p>
            <w:pPr>
              <w:spacing w:after="40"/>
            </w:pPr>
            <w:r>
              <w:rPr>
                <w:sz w:val="17"/>
              </w:rPr>
              <w:t>Purpose</w:t>
            </w:r>
          </w:p>
        </w:tc>
      </w:tr>
      <w:tr>
        <w:tc>
          <w:tcPr>
            <w:tcW w:type="dxa" w:w="5083"/>
            <w:vAlign w:val="center"/>
            <w:tcMar>
              <w:top w:w="100" w:type="dxa"/>
              <w:start w:w="120" w:type="dxa"/>
              <w:bottom w:w="100" w:type="dxa"/>
              <w:end w:w="120" w:type="dxa"/>
            </w:tcMar>
          </w:tcPr>
          <w:p>
            <w:pPr>
              <w:spacing w:after="40"/>
            </w:pPr>
            <w:r>
              <w:rPr>
                <w:sz w:val="17"/>
              </w:rPr>
              <w:t>Home</w:t>
            </w:r>
          </w:p>
        </w:tc>
        <w:tc>
          <w:tcPr>
            <w:tcW w:type="dxa" w:w="5083"/>
            <w:vAlign w:val="center"/>
            <w:tcMar>
              <w:top w:w="100" w:type="dxa"/>
              <w:start w:w="120" w:type="dxa"/>
              <w:bottom w:w="100" w:type="dxa"/>
              <w:end w:w="120" w:type="dxa"/>
            </w:tcMar>
          </w:tcPr>
          <w:p>
            <w:pPr>
              <w:spacing w:after="40"/>
            </w:pPr>
            <w:r>
              <w:rPr>
                <w:sz w:val="17"/>
              </w:rPr>
              <w:t>Immersive narrative, featured projects, services, AI direction, trust, and conversion.</w:t>
            </w:r>
          </w:p>
        </w:tc>
      </w:tr>
      <w:tr>
        <w:tc>
          <w:tcPr>
            <w:tcW w:type="dxa" w:w="5083"/>
            <w:vAlign w:val="center"/>
            <w:tcMar>
              <w:top w:w="100" w:type="dxa"/>
              <w:start w:w="120" w:type="dxa"/>
              <w:bottom w:w="100" w:type="dxa"/>
              <w:end w:w="120" w:type="dxa"/>
            </w:tcMar>
          </w:tcPr>
          <w:p>
            <w:pPr>
              <w:spacing w:after="40"/>
            </w:pPr>
            <w:r>
              <w:rPr>
                <w:sz w:val="17"/>
              </w:rPr>
              <w:t>Projects</w:t>
            </w:r>
          </w:p>
        </w:tc>
        <w:tc>
          <w:tcPr>
            <w:tcW w:type="dxa" w:w="5083"/>
            <w:vAlign w:val="center"/>
            <w:tcMar>
              <w:top w:w="100" w:type="dxa"/>
              <w:start w:w="120" w:type="dxa"/>
              <w:bottom w:w="100" w:type="dxa"/>
              <w:end w:w="120" w:type="dxa"/>
            </w:tcMar>
          </w:tcPr>
          <w:p>
            <w:pPr>
              <w:spacing w:after="40"/>
            </w:pPr>
            <w:r>
              <w:rPr>
                <w:sz w:val="17"/>
              </w:rPr>
              <w:t>CMS-driven project archive with filters and search-friendly project cards.</w:t>
            </w:r>
          </w:p>
        </w:tc>
      </w:tr>
      <w:tr>
        <w:tc>
          <w:tcPr>
            <w:tcW w:type="dxa" w:w="5083"/>
            <w:vAlign w:val="center"/>
            <w:tcMar>
              <w:top w:w="100" w:type="dxa"/>
              <w:start w:w="120" w:type="dxa"/>
              <w:bottom w:w="100" w:type="dxa"/>
              <w:end w:w="120" w:type="dxa"/>
            </w:tcMar>
          </w:tcPr>
          <w:p>
            <w:pPr>
              <w:spacing w:after="40"/>
            </w:pPr>
            <w:r>
              <w:rPr>
                <w:sz w:val="17"/>
              </w:rPr>
              <w:t>Project detail</w:t>
            </w:r>
          </w:p>
        </w:tc>
        <w:tc>
          <w:tcPr>
            <w:tcW w:type="dxa" w:w="5083"/>
            <w:vAlign w:val="center"/>
            <w:tcMar>
              <w:top w:w="100" w:type="dxa"/>
              <w:start w:w="120" w:type="dxa"/>
              <w:bottom w:w="100" w:type="dxa"/>
              <w:end w:w="120" w:type="dxa"/>
            </w:tcMar>
          </w:tcPr>
          <w:p>
            <w:pPr>
              <w:spacing w:after="40"/>
            </w:pPr>
            <w:r>
              <w:rPr>
                <w:sz w:val="17"/>
              </w:rPr>
              <w:t>Story, challenge, concept, scope, media, services, technologies, outcomes, credits, and related work.</w:t>
            </w:r>
          </w:p>
        </w:tc>
      </w:tr>
      <w:tr>
        <w:tc>
          <w:tcPr>
            <w:tcW w:type="dxa" w:w="5083"/>
            <w:vAlign w:val="center"/>
            <w:tcMar>
              <w:top w:w="100" w:type="dxa"/>
              <w:start w:w="120" w:type="dxa"/>
              <w:bottom w:w="100" w:type="dxa"/>
              <w:end w:w="120" w:type="dxa"/>
            </w:tcMar>
          </w:tcPr>
          <w:p>
            <w:pPr>
              <w:spacing w:after="40"/>
            </w:pPr>
            <w:r>
              <w:rPr>
                <w:sz w:val="17"/>
              </w:rPr>
              <w:t>Services</w:t>
            </w:r>
          </w:p>
        </w:tc>
        <w:tc>
          <w:tcPr>
            <w:tcW w:type="dxa" w:w="5083"/>
            <w:vAlign w:val="center"/>
            <w:tcMar>
              <w:top w:w="100" w:type="dxa"/>
              <w:start w:w="120" w:type="dxa"/>
              <w:bottom w:w="100" w:type="dxa"/>
              <w:end w:w="120" w:type="dxa"/>
            </w:tcMar>
          </w:tcPr>
          <w:p>
            <w:pPr>
              <w:spacing w:after="40"/>
            </w:pPr>
            <w:r>
              <w:rPr>
                <w:sz w:val="17"/>
              </w:rPr>
              <w:t>Full event production, exhibitions, interactive experiences, games, photo experiences, content, technical production, and future AI/analytics.</w:t>
            </w:r>
          </w:p>
        </w:tc>
      </w:tr>
      <w:tr>
        <w:tc>
          <w:tcPr>
            <w:tcW w:type="dxa" w:w="5083"/>
            <w:vAlign w:val="center"/>
            <w:tcMar>
              <w:top w:w="100" w:type="dxa"/>
              <w:start w:w="120" w:type="dxa"/>
              <w:bottom w:w="100" w:type="dxa"/>
              <w:end w:w="120" w:type="dxa"/>
            </w:tcMar>
          </w:tcPr>
          <w:p>
            <w:pPr>
              <w:spacing w:after="40"/>
            </w:pPr>
            <w:r>
              <w:rPr>
                <w:sz w:val="17"/>
              </w:rPr>
              <w:t>About</w:t>
            </w:r>
          </w:p>
        </w:tc>
        <w:tc>
          <w:tcPr>
            <w:tcW w:type="dxa" w:w="5083"/>
            <w:vAlign w:val="center"/>
            <w:tcMar>
              <w:top w:w="100" w:type="dxa"/>
              <w:start w:w="120" w:type="dxa"/>
              <w:bottom w:w="100" w:type="dxa"/>
              <w:end w:w="120" w:type="dxa"/>
            </w:tcMar>
          </w:tcPr>
          <w:p>
            <w:pPr>
              <w:spacing w:after="40"/>
            </w:pPr>
            <w:r>
              <w:rPr>
                <w:sz w:val="17"/>
              </w:rPr>
              <w:t>Mandegar’s approach, team, production philosophy, geographic model, partners, and credibility.</w:t>
            </w:r>
          </w:p>
        </w:tc>
      </w:tr>
      <w:tr>
        <w:tc>
          <w:tcPr>
            <w:tcW w:type="dxa" w:w="5083"/>
            <w:vAlign w:val="center"/>
            <w:tcMar>
              <w:top w:w="100" w:type="dxa"/>
              <w:start w:w="120" w:type="dxa"/>
              <w:bottom w:w="100" w:type="dxa"/>
              <w:end w:w="120" w:type="dxa"/>
            </w:tcMar>
          </w:tcPr>
          <w:p>
            <w:pPr>
              <w:spacing w:after="40"/>
            </w:pPr>
            <w:r>
              <w:rPr>
                <w:sz w:val="17"/>
              </w:rPr>
              <w:t>Contact</w:t>
            </w:r>
          </w:p>
        </w:tc>
        <w:tc>
          <w:tcPr>
            <w:tcW w:type="dxa" w:w="5083"/>
            <w:vAlign w:val="center"/>
            <w:tcMar>
              <w:top w:w="100" w:type="dxa"/>
              <w:start w:w="120" w:type="dxa"/>
              <w:bottom w:w="100" w:type="dxa"/>
              <w:end w:w="120" w:type="dxa"/>
            </w:tcMar>
          </w:tcPr>
          <w:p>
            <w:pPr>
              <w:spacing w:after="40"/>
            </w:pPr>
            <w:r>
              <w:rPr>
                <w:sz w:val="17"/>
              </w:rPr>
              <w:t>Sales contact, general inquiries, WhatsApp, telephone, location, and social links.</w:t>
            </w:r>
          </w:p>
        </w:tc>
      </w:tr>
      <w:tr>
        <w:tc>
          <w:tcPr>
            <w:tcW w:type="dxa" w:w="5083"/>
            <w:vAlign w:val="center"/>
            <w:tcMar>
              <w:top w:w="100" w:type="dxa"/>
              <w:start w:w="120" w:type="dxa"/>
              <w:bottom w:w="100" w:type="dxa"/>
              <w:end w:w="120" w:type="dxa"/>
            </w:tcMar>
          </w:tcPr>
          <w:p>
            <w:pPr>
              <w:spacing w:after="40"/>
            </w:pPr>
            <w:r>
              <w:rPr>
                <w:sz w:val="17"/>
              </w:rPr>
              <w:t>Legal</w:t>
            </w:r>
          </w:p>
        </w:tc>
        <w:tc>
          <w:tcPr>
            <w:tcW w:type="dxa" w:w="5083"/>
            <w:vAlign w:val="center"/>
            <w:tcMar>
              <w:top w:w="100" w:type="dxa"/>
              <w:start w:w="120" w:type="dxa"/>
              <w:bottom w:w="100" w:type="dxa"/>
              <w:end w:w="120" w:type="dxa"/>
            </w:tcMar>
          </w:tcPr>
          <w:p>
            <w:pPr>
              <w:spacing w:after="40"/>
            </w:pPr>
            <w:r>
              <w:rPr>
                <w:sz w:val="17"/>
              </w:rPr>
              <w:t>Privacy, cookies, terms, and media attribution where needed.</w:t>
            </w:r>
          </w:p>
        </w:tc>
      </w:tr>
    </w:tbl>
    <w:p>
      <w:pPr>
        <w:pStyle w:val="Heading1"/>
        <w:keepNext/>
      </w:pPr>
      <w:r>
        <w:t>6. Homepage Scroll Storyboard</w:t>
      </w:r>
    </w:p>
    <w:p>
      <w:pPr>
        <w:pStyle w:val="Heading2"/>
        <w:keepNext/>
      </w:pPr>
      <w:r>
        <w:t>01 — Opening / The Spark</w:t>
      </w:r>
    </w:p>
    <w:p>
      <w:r>
        <w:t>Bright near-white field. One responsive spark. Provisional Persian headline: «ایده‌های خوب، خاطره‌های ماندگار می‌سازند.» Supporting invitation: «رویداد بعدی‌تان را تصور کنید.» Primary CTA scrolls into the experience: «تجربه را کشف کنید». Header contains a smaller persistent «شروع یک پروژه» action.</w:t>
      </w:r>
    </w:p>
    <w:p>
      <w:pPr>
        <w:pStyle w:val="Heading2"/>
        <w:keepNext/>
      </w:pPr>
      <w:r>
        <w:t>02 — An Idea Takes Shape</w:t>
      </w:r>
    </w:p>
    <w:p>
      <w:r>
        <w:t>The spark draws architectural lines and assembles an event environment. Words such as story, space, technology, and emotion appear briefly. Copy explains that Mandegar begins with the idea and designs the complete experience around its purpose and audience.</w:t>
      </w:r>
    </w:p>
    <w:p>
      <w:pPr>
        <w:pStyle w:val="Heading2"/>
        <w:keepNext/>
      </w:pPr>
      <w:r>
        <w:t>03 — From Empty Space to Event</w:t>
      </w:r>
    </w:p>
    <w:p>
      <w:r>
        <w:t>The evolving scene adds stage, exhibition structures, LED surfaces, lighting, sound, registration, content, and production elements. This section establishes start-to-finish event and exhibition production.</w:t>
      </w:r>
    </w:p>
    <w:p>
      <w:pPr>
        <w:pStyle w:val="Heading2"/>
        <w:keepNext/>
      </w:pPr>
      <w:r>
        <w:t>04 — Make It Interactive</w:t>
      </w:r>
    </w:p>
    <w:p>
      <w:r>
        <w:t>The scene activates with games, touch and motion experiences, photo experiences, interactive walls, installations, audience participation, and custom digital products. Use short real clips embedded into surfaces or transitioned full-bleed.</w:t>
      </w:r>
    </w:p>
    <w:p>
      <w:pPr>
        <w:pStyle w:val="Heading2"/>
        <w:keepNext/>
      </w:pPr>
      <w:r>
        <w:t>05 — Selected Work</w:t>
      </w:r>
    </w:p>
    <w:p>
      <w:r>
        <w:t>A curated, CMS-controlled set of featured projects. Each project opens into real media, title, client or sector, project type, concise challenge, and Mandegar’s role. Featured order is editorial, not hard-coded.</w:t>
      </w:r>
    </w:p>
    <w:p>
      <w:pPr>
        <w:pStyle w:val="Heading2"/>
        <w:keepNext/>
      </w:pPr>
      <w:r>
        <w:t>06 — How Mandegar Builds the Experience</w:t>
      </w:r>
    </w:p>
    <w:p>
      <w:r>
        <w:t>A layered visual breakdown of strategy, creative direction, spatial design, content, software and interaction, AV and technical production, logistics, staffing, execution, and support.</w:t>
      </w:r>
    </w:p>
    <w:p>
      <w:pPr>
        <w:pStyle w:val="Heading2"/>
        <w:keepNext/>
      </w:pPr>
      <w:r>
        <w:t>07 — Data Becomes Insight</w:t>
      </w:r>
    </w:p>
    <w:p>
      <w:r>
        <w:t>An event visual dissolves into clean data particles and diagrams. Present AI and analytics as an emerging direction, not a mature guaranteed service. Explain that data from registration, attendance, polls, games, booths, surveys, webinar participation, and interactions can be transformed into engagement insights, summaries, segmentation, sentiment, reports, and recommendations.</w:t>
      </w:r>
    </w:p>
    <w:p>
      <w:pPr>
        <w:pStyle w:val="Heading2"/>
        <w:keepNext/>
      </w:pPr>
      <w:r>
        <w:t>08 — Trust and Scale</w:t>
      </w:r>
    </w:p>
    <w:p>
      <w:r>
        <w:t>Client logos, sectors, selected metrics, production capabilities, and testimonials. All claims must be CMS-managed and backed by real data.</w:t>
      </w:r>
    </w:p>
    <w:p>
      <w:pPr>
        <w:pStyle w:val="Heading2"/>
        <w:keepNext/>
      </w:pPr>
      <w:r>
        <w:t>09 — Final Memory</w:t>
      </w:r>
    </w:p>
    <w:p>
      <w:r>
        <w:t>The visual fragments reassemble into photos and moments from real events. Copy: an event lasts for a moment; the experience stays with people.</w:t>
      </w:r>
    </w:p>
    <w:p>
      <w:pPr>
        <w:pStyle w:val="Heading2"/>
        <w:keepNext/>
      </w:pPr>
      <w:r>
        <w:t>10 — Conversion</w:t>
      </w:r>
    </w:p>
    <w:p>
      <w:r>
        <w:t>Headline: «بیایید رویداد بعدی شما را با هم تصور کنیم.» Primary actions: call sales and message sales on WhatsApp. Secondary route: general inquiries. Do not require a long form; an optional minimal callback form may be enabled later through CMS settings.</w:t>
      </w:r>
    </w:p>
    <w:p>
      <w:pPr>
        <w:pStyle w:val="Heading1"/>
        <w:keepNext/>
      </w:pPr>
      <w:r>
        <w:t>7. Provisional Visual System</w:t>
      </w:r>
    </w:p>
    <w:p>
      <w:r>
        <w:t>The branding is still being prepared. Implement all identity choices as replaceable design tokens so the final logo, typography, and colors can be changed without structural rework.</w:t>
      </w:r>
    </w:p>
    <w:p>
      <w:r>
        <w:rPr>
          <w:b/>
        </w:rPr>
        <w:t xml:space="preserve">Base: </w:t>
      </w:r>
      <w:r>
        <w:t>Warm white and very light neutral gray.</w:t>
      </w:r>
    </w:p>
    <w:p>
      <w:r>
        <w:rPr>
          <w:b/>
        </w:rPr>
        <w:t xml:space="preserve">Text: </w:t>
      </w:r>
      <w:r>
        <w:t>Deep charcoal, not absolute black.</w:t>
      </w:r>
    </w:p>
    <w:p>
      <w:r>
        <w:rPr>
          <w:b/>
        </w:rPr>
        <w:t xml:space="preserve">Key color: </w:t>
      </w:r>
      <w:r>
        <w:t>Electric cobalt blue as the provisional memorable accent.</w:t>
      </w:r>
    </w:p>
    <w:p>
      <w:r>
        <w:rPr>
          <w:b/>
        </w:rPr>
        <w:t xml:space="preserve">Materials: </w:t>
      </w:r>
      <w:r>
        <w:t>Soft translucent glass, matte silver, subtle refraction, and clean architectural surfaces.</w:t>
      </w:r>
    </w:p>
    <w:p>
      <w:r>
        <w:rPr>
          <w:b/>
        </w:rPr>
        <w:t xml:space="preserve">Gradient use: </w:t>
      </w:r>
      <w:r>
        <w:t>Restrained; only for data, light, transitions, and interactive emphasis.</w:t>
      </w:r>
    </w:p>
    <w:p>
      <w:r>
        <w:rPr>
          <w:b/>
        </w:rPr>
        <w:t xml:space="preserve">Typography: </w:t>
      </w:r>
      <w:r>
        <w:t>Large editorial headings, disciplined spacing, compact supporting copy, and excellent Persian legibility.</w:t>
      </w:r>
    </w:p>
    <w:p>
      <w:r>
        <w:rPr>
          <w:b/>
        </w:rPr>
        <w:t xml:space="preserve">Motion: </w:t>
      </w:r>
      <w:r>
        <w:t>Precise, calm, responsive, and intentional. Avoid constant ambient movement.</w:t>
      </w:r>
    </w:p>
    <w:p>
      <w:r>
        <w:rPr>
          <w:b/>
        </w:rPr>
        <w:t xml:space="preserve">Corners: </w:t>
      </w:r>
      <w:r>
        <w:t>Moderately rounded, not overly playful.</w:t>
      </w:r>
    </w:p>
    <w:p>
      <w:r>
        <w:rPr>
          <w:b/>
        </w:rPr>
        <w:t xml:space="preserve">Photography: </w:t>
      </w:r>
      <w:r>
        <w:t>Real people, scale, light, interaction, and finished environments. Avoid repetitive equipment-only imagery.</w:t>
      </w:r>
    </w:p>
    <w:p>
      <w:pPr>
        <w:pStyle w:val="Heading2"/>
        <w:keepNext/>
      </w:pPr>
      <w:r>
        <w:t>7.1 Design tokens</w:t>
      </w:r>
    </w:p>
    <w:p>
      <w:r>
        <w:t>Define CSS variables for background, surface, text, muted text, accent, accent-soft, border, radius, spacing, motion duration, easing, and directional layout. CMS content must never store presentation-specific colors except optional project media themes.</w:t>
      </w:r>
    </w:p>
    <w:p>
      <w:pPr>
        <w:pStyle w:val="Heading1"/>
        <w:keepNext/>
      </w:pPr>
      <w:r>
        <w:t>8. Languages and Directionality</w:t>
      </w:r>
    </w:p>
    <w:p>
      <w:r>
        <w:t>Persian is the primary and default language. English supports international communication. Arabic supports future Gulf-region positioning. Persian and Arabic use RTL; English uses LTR.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AF1FF"/>
            <w:vAlign w:val="center"/>
            <w:tcMar>
              <w:top w:w="100" w:type="dxa"/>
              <w:start w:w="120" w:type="dxa"/>
              <w:bottom w:w="100" w:type="dxa"/>
              <w:end w:w="120" w:type="dxa"/>
            </w:tcMar>
          </w:tcPr>
          <w:p>
            <w:pPr>
              <w:spacing w:after="40"/>
            </w:pPr>
            <w:r>
              <w:rPr>
                <w:sz w:val="17"/>
              </w:rPr>
              <w:t>Language</w:t>
            </w:r>
          </w:p>
        </w:tc>
        <w:tc>
          <w:tcPr>
            <w:tcW w:type="dxa" w:w="2541"/>
            <w:shd w:fill="EAF1FF"/>
            <w:vAlign w:val="center"/>
            <w:tcMar>
              <w:top w:w="100" w:type="dxa"/>
              <w:start w:w="120" w:type="dxa"/>
              <w:bottom w:w="100" w:type="dxa"/>
              <w:end w:w="120" w:type="dxa"/>
            </w:tcMar>
          </w:tcPr>
          <w:p>
            <w:pPr>
              <w:spacing w:after="40"/>
            </w:pPr>
            <w:r>
              <w:rPr>
                <w:sz w:val="17"/>
              </w:rPr>
              <w:t>Path</w:t>
            </w:r>
          </w:p>
        </w:tc>
        <w:tc>
          <w:tcPr>
            <w:tcW w:type="dxa" w:w="2541"/>
            <w:shd w:fill="EAF1FF"/>
            <w:vAlign w:val="center"/>
            <w:tcMar>
              <w:top w:w="100" w:type="dxa"/>
              <w:start w:w="120" w:type="dxa"/>
              <w:bottom w:w="100" w:type="dxa"/>
              <w:end w:w="120" w:type="dxa"/>
            </w:tcMar>
          </w:tcPr>
          <w:p>
            <w:pPr>
              <w:spacing w:after="40"/>
            </w:pPr>
            <w:r>
              <w:rPr>
                <w:sz w:val="17"/>
              </w:rPr>
              <w:t>Direction</w:t>
            </w:r>
          </w:p>
        </w:tc>
        <w:tc>
          <w:tcPr>
            <w:tcW w:type="dxa" w:w="2541"/>
            <w:shd w:fill="EAF1FF"/>
            <w:vAlign w:val="center"/>
            <w:tcMar>
              <w:top w:w="100" w:type="dxa"/>
              <w:start w:w="120" w:type="dxa"/>
              <w:bottom w:w="100" w:type="dxa"/>
              <w:end w:w="120" w:type="dxa"/>
            </w:tcMar>
          </w:tcPr>
          <w:p>
            <w:pPr>
              <w:spacing w:after="40"/>
            </w:pPr>
            <w:r>
              <w:rPr>
                <w:sz w:val="17"/>
              </w:rPr>
              <w:t>Rule</w:t>
            </w:r>
          </w:p>
        </w:tc>
      </w:tr>
      <w:tr>
        <w:tc>
          <w:tcPr>
            <w:tcW w:type="dxa" w:w="2541"/>
            <w:vAlign w:val="center"/>
            <w:tcMar>
              <w:top w:w="100" w:type="dxa"/>
              <w:start w:w="120" w:type="dxa"/>
              <w:bottom w:w="100" w:type="dxa"/>
              <w:end w:w="120" w:type="dxa"/>
            </w:tcMar>
          </w:tcPr>
          <w:p>
            <w:pPr>
              <w:spacing w:after="40"/>
            </w:pPr>
            <w:r>
              <w:rPr>
                <w:sz w:val="17"/>
              </w:rPr>
              <w:t>Persian</w:t>
            </w:r>
          </w:p>
        </w:tc>
        <w:tc>
          <w:tcPr>
            <w:tcW w:type="dxa" w:w="2541"/>
            <w:vAlign w:val="center"/>
            <w:tcMar>
              <w:top w:w="100" w:type="dxa"/>
              <w:start w:w="120" w:type="dxa"/>
              <w:bottom w:w="100" w:type="dxa"/>
              <w:end w:w="120" w:type="dxa"/>
            </w:tcMar>
          </w:tcPr>
          <w:p>
            <w:pPr>
              <w:spacing w:after="40"/>
            </w:pPr>
            <w:r>
              <w:rPr>
                <w:sz w:val="17"/>
              </w:rPr>
              <w:t>/fa</w:t>
            </w:r>
          </w:p>
        </w:tc>
        <w:tc>
          <w:tcPr>
            <w:tcW w:type="dxa" w:w="2541"/>
            <w:vAlign w:val="center"/>
            <w:tcMar>
              <w:top w:w="100" w:type="dxa"/>
              <w:start w:w="120" w:type="dxa"/>
              <w:bottom w:w="100" w:type="dxa"/>
              <w:end w:w="120" w:type="dxa"/>
            </w:tcMar>
          </w:tcPr>
          <w:p>
            <w:pPr>
              <w:spacing w:after="40"/>
            </w:pPr>
            <w:r>
              <w:rPr>
                <w:sz w:val="17"/>
              </w:rPr>
              <w:t>RTL</w:t>
            </w:r>
          </w:p>
        </w:tc>
        <w:tc>
          <w:tcPr>
            <w:tcW w:type="dxa" w:w="2541"/>
            <w:vAlign w:val="center"/>
            <w:tcMar>
              <w:top w:w="100" w:type="dxa"/>
              <w:start w:w="120" w:type="dxa"/>
              <w:bottom w:w="100" w:type="dxa"/>
              <w:end w:w="120" w:type="dxa"/>
            </w:tcMar>
          </w:tcPr>
          <w:p>
            <w:pPr>
              <w:spacing w:after="40"/>
            </w:pPr>
            <w:r>
              <w:rPr>
                <w:sz w:val="17"/>
              </w:rPr>
              <w:t>Default index and primary editorial priority.</w:t>
            </w:r>
          </w:p>
        </w:tc>
      </w:tr>
      <w:tr>
        <w:tc>
          <w:tcPr>
            <w:tcW w:type="dxa" w:w="2541"/>
            <w:vAlign w:val="center"/>
            <w:tcMar>
              <w:top w:w="100" w:type="dxa"/>
              <w:start w:w="120" w:type="dxa"/>
              <w:bottom w:w="100" w:type="dxa"/>
              <w:end w:w="120" w:type="dxa"/>
            </w:tcMar>
          </w:tcPr>
          <w:p>
            <w:pPr>
              <w:spacing w:after="40"/>
            </w:pPr>
            <w:r>
              <w:rPr>
                <w:sz w:val="17"/>
              </w:rPr>
              <w:t>English</w:t>
            </w:r>
          </w:p>
        </w:tc>
        <w:tc>
          <w:tcPr>
            <w:tcW w:type="dxa" w:w="2541"/>
            <w:vAlign w:val="center"/>
            <w:tcMar>
              <w:top w:w="100" w:type="dxa"/>
              <w:start w:w="120" w:type="dxa"/>
              <w:bottom w:w="100" w:type="dxa"/>
              <w:end w:w="120" w:type="dxa"/>
            </w:tcMar>
          </w:tcPr>
          <w:p>
            <w:pPr>
              <w:spacing w:after="40"/>
            </w:pPr>
            <w:r>
              <w:rPr>
                <w:sz w:val="17"/>
              </w:rPr>
              <w:t>/en</w:t>
            </w:r>
          </w:p>
        </w:tc>
        <w:tc>
          <w:tcPr>
            <w:tcW w:type="dxa" w:w="2541"/>
            <w:vAlign w:val="center"/>
            <w:tcMar>
              <w:top w:w="100" w:type="dxa"/>
              <w:start w:w="120" w:type="dxa"/>
              <w:bottom w:w="100" w:type="dxa"/>
              <w:end w:w="120" w:type="dxa"/>
            </w:tcMar>
          </w:tcPr>
          <w:p>
            <w:pPr>
              <w:spacing w:after="40"/>
            </w:pPr>
            <w:r>
              <w:rPr>
                <w:sz w:val="17"/>
              </w:rPr>
              <w:t>LTR</w:t>
            </w:r>
          </w:p>
        </w:tc>
        <w:tc>
          <w:tcPr>
            <w:tcW w:type="dxa" w:w="2541"/>
            <w:vAlign w:val="center"/>
            <w:tcMar>
              <w:top w:w="100" w:type="dxa"/>
              <w:start w:w="120" w:type="dxa"/>
              <w:bottom w:w="100" w:type="dxa"/>
              <w:end w:w="120" w:type="dxa"/>
            </w:tcMar>
          </w:tcPr>
          <w:p>
            <w:pPr>
              <w:spacing w:after="40"/>
            </w:pPr>
            <w:r>
              <w:rPr>
                <w:sz w:val="17"/>
              </w:rPr>
              <w:t>International business language.</w:t>
            </w:r>
          </w:p>
        </w:tc>
      </w:tr>
      <w:tr>
        <w:tc>
          <w:tcPr>
            <w:tcW w:type="dxa" w:w="2541"/>
            <w:vAlign w:val="center"/>
            <w:tcMar>
              <w:top w:w="100" w:type="dxa"/>
              <w:start w:w="120" w:type="dxa"/>
              <w:bottom w:w="100" w:type="dxa"/>
              <w:end w:w="120" w:type="dxa"/>
            </w:tcMar>
          </w:tcPr>
          <w:p>
            <w:pPr>
              <w:spacing w:after="40"/>
            </w:pPr>
            <w:r>
              <w:rPr>
                <w:sz w:val="17"/>
              </w:rPr>
              <w:t>Arabic</w:t>
            </w:r>
          </w:p>
        </w:tc>
        <w:tc>
          <w:tcPr>
            <w:tcW w:type="dxa" w:w="2541"/>
            <w:vAlign w:val="center"/>
            <w:tcMar>
              <w:top w:w="100" w:type="dxa"/>
              <w:start w:w="120" w:type="dxa"/>
              <w:bottom w:w="100" w:type="dxa"/>
              <w:end w:w="120" w:type="dxa"/>
            </w:tcMar>
          </w:tcPr>
          <w:p>
            <w:pPr>
              <w:spacing w:after="40"/>
            </w:pPr>
            <w:r>
              <w:rPr>
                <w:sz w:val="17"/>
              </w:rPr>
              <w:t>/ar</w:t>
            </w:r>
          </w:p>
        </w:tc>
        <w:tc>
          <w:tcPr>
            <w:tcW w:type="dxa" w:w="2541"/>
            <w:vAlign w:val="center"/>
            <w:tcMar>
              <w:top w:w="100" w:type="dxa"/>
              <w:start w:w="120" w:type="dxa"/>
              <w:bottom w:w="100" w:type="dxa"/>
              <w:end w:w="120" w:type="dxa"/>
            </w:tcMar>
          </w:tcPr>
          <w:p>
            <w:pPr>
              <w:spacing w:after="40"/>
            </w:pPr>
            <w:r>
              <w:rPr>
                <w:sz w:val="17"/>
              </w:rPr>
              <w:t>RTL</w:t>
            </w:r>
          </w:p>
        </w:tc>
        <w:tc>
          <w:tcPr>
            <w:tcW w:type="dxa" w:w="2541"/>
            <w:vAlign w:val="center"/>
            <w:tcMar>
              <w:top w:w="100" w:type="dxa"/>
              <w:start w:w="120" w:type="dxa"/>
              <w:bottom w:w="100" w:type="dxa"/>
              <w:end w:w="120" w:type="dxa"/>
            </w:tcMar>
          </w:tcPr>
          <w:p>
            <w:pPr>
              <w:spacing w:after="40"/>
            </w:pPr>
            <w:r>
              <w:rPr>
                <w:sz w:val="17"/>
              </w:rPr>
              <w:t>Gulf-facing version; launch may follow Persian and English if translations are incomplete.</w:t>
            </w:r>
          </w:p>
        </w:tc>
      </w:tr>
    </w:tbl>
    <w:p>
      <w:r>
        <w:t>Requirements: localized slugs, metadata, structured data, navigation, image alt text, contact labels, filter labels, and social sharing text. Use logical CSS properties such as margin-inline and padding-inline. Do not simply mirror every visual; media composition and directional motion may require language-aware art direction.</w:t>
      </w:r>
    </w:p>
    <w:p>
      <w:pPr>
        <w:pStyle w:val="Heading1"/>
        <w:keepNext/>
      </w:pPr>
      <w:r>
        <w:t>9. CMS and Content Model</w:t>
      </w:r>
    </w:p>
    <w:p>
      <w:r>
        <w:t>Use Sanity as the structured content platform. The website must remain usable if the CMS is temporarily unavailable by relying on cached or statically generated content. Preview mode should allow editors to review drafts.</w:t>
      </w:r>
    </w:p>
    <w:tbl>
      <w:tblPr>
        <w:tblStyle w:val="TableGrid"/>
        <w:tblW w:type="auto" w:w="0"/>
        <w:jc w:val="center"/>
        <w:tblLook w:firstColumn="1" w:firstRow="1" w:lastColumn="0" w:lastRow="0" w:noHBand="0" w:noVBand="1" w:val="04A0"/>
      </w:tblPr>
      <w:tblGrid>
        <w:gridCol w:w="5083"/>
        <w:gridCol w:w="5083"/>
      </w:tblGrid>
      <w:tr>
        <w:tc>
          <w:tcPr>
            <w:tcW w:type="dxa" w:w="5083"/>
            <w:shd w:fill="EAF1FF"/>
            <w:vAlign w:val="center"/>
            <w:tcMar>
              <w:top w:w="100" w:type="dxa"/>
              <w:start w:w="120" w:type="dxa"/>
              <w:bottom w:w="100" w:type="dxa"/>
              <w:end w:w="120" w:type="dxa"/>
            </w:tcMar>
          </w:tcPr>
          <w:p>
            <w:pPr>
              <w:spacing w:after="40"/>
            </w:pPr>
            <w:r>
              <w:rPr>
                <w:sz w:val="17"/>
              </w:rPr>
              <w:t>Schema</w:t>
            </w:r>
          </w:p>
        </w:tc>
        <w:tc>
          <w:tcPr>
            <w:tcW w:type="dxa" w:w="5083"/>
            <w:shd w:fill="EAF1FF"/>
            <w:vAlign w:val="center"/>
            <w:tcMar>
              <w:top w:w="100" w:type="dxa"/>
              <w:start w:w="120" w:type="dxa"/>
              <w:bottom w:w="100" w:type="dxa"/>
              <w:end w:w="120" w:type="dxa"/>
            </w:tcMar>
          </w:tcPr>
          <w:p>
            <w:pPr>
              <w:spacing w:after="40"/>
            </w:pPr>
            <w:r>
              <w:rPr>
                <w:sz w:val="17"/>
              </w:rPr>
              <w:t>Essential fields / purpose</w:t>
            </w:r>
          </w:p>
        </w:tc>
      </w:tr>
      <w:tr>
        <w:tc>
          <w:tcPr>
            <w:tcW w:type="dxa" w:w="5083"/>
            <w:vAlign w:val="center"/>
            <w:tcMar>
              <w:top w:w="100" w:type="dxa"/>
              <w:start w:w="120" w:type="dxa"/>
              <w:bottom w:w="100" w:type="dxa"/>
              <w:end w:w="120" w:type="dxa"/>
            </w:tcMar>
          </w:tcPr>
          <w:p>
            <w:pPr>
              <w:spacing w:after="40"/>
            </w:pPr>
            <w:r>
              <w:rPr>
                <w:sz w:val="17"/>
              </w:rPr>
              <w:t>Site Settings</w:t>
            </w:r>
          </w:p>
        </w:tc>
        <w:tc>
          <w:tcPr>
            <w:tcW w:type="dxa" w:w="5083"/>
            <w:vAlign w:val="center"/>
            <w:tcMar>
              <w:top w:w="100" w:type="dxa"/>
              <w:start w:w="120" w:type="dxa"/>
              <w:bottom w:w="100" w:type="dxa"/>
              <w:end w:w="120" w:type="dxa"/>
            </w:tcMar>
          </w:tcPr>
          <w:p>
            <w:pPr>
              <w:spacing w:after="40"/>
            </w:pPr>
            <w:r>
              <w:rPr>
                <w:sz w:val="17"/>
              </w:rPr>
              <w:t>Brand assets, languages, navigation, footer, social links, SEO defaults, analytics IDs, contact priorities, feature flags.</w:t>
            </w:r>
          </w:p>
        </w:tc>
      </w:tr>
      <w:tr>
        <w:tc>
          <w:tcPr>
            <w:tcW w:type="dxa" w:w="5083"/>
            <w:vAlign w:val="center"/>
            <w:tcMar>
              <w:top w:w="100" w:type="dxa"/>
              <w:start w:w="120" w:type="dxa"/>
              <w:bottom w:w="100" w:type="dxa"/>
              <w:end w:w="120" w:type="dxa"/>
            </w:tcMar>
          </w:tcPr>
          <w:p>
            <w:pPr>
              <w:spacing w:after="40"/>
            </w:pPr>
            <w:r>
              <w:rPr>
                <w:sz w:val="17"/>
              </w:rPr>
              <w:t>Homepage</w:t>
            </w:r>
          </w:p>
        </w:tc>
        <w:tc>
          <w:tcPr>
            <w:tcW w:type="dxa" w:w="5083"/>
            <w:vAlign w:val="center"/>
            <w:tcMar>
              <w:top w:w="100" w:type="dxa"/>
              <w:start w:w="120" w:type="dxa"/>
              <w:bottom w:w="100" w:type="dxa"/>
              <w:end w:w="120" w:type="dxa"/>
            </w:tcMar>
          </w:tcPr>
          <w:p>
            <w:pPr>
              <w:spacing w:after="40"/>
            </w:pPr>
            <w:r>
              <w:rPr>
                <w:sz w:val="17"/>
              </w:rPr>
              <w:t>Ordered modular sections, section visibility, section variants, selected projects, copy, media, and CTA configuration.</w:t>
            </w:r>
          </w:p>
        </w:tc>
      </w:tr>
      <w:tr>
        <w:tc>
          <w:tcPr>
            <w:tcW w:type="dxa" w:w="5083"/>
            <w:vAlign w:val="center"/>
            <w:tcMar>
              <w:top w:w="100" w:type="dxa"/>
              <w:start w:w="120" w:type="dxa"/>
              <w:bottom w:w="100" w:type="dxa"/>
              <w:end w:w="120" w:type="dxa"/>
            </w:tcMar>
          </w:tcPr>
          <w:p>
            <w:pPr>
              <w:spacing w:after="40"/>
            </w:pPr>
            <w:r>
              <w:rPr>
                <w:sz w:val="17"/>
              </w:rPr>
              <w:t>Project</w:t>
            </w:r>
          </w:p>
        </w:tc>
        <w:tc>
          <w:tcPr>
            <w:tcW w:type="dxa" w:w="5083"/>
            <w:vAlign w:val="center"/>
            <w:tcMar>
              <w:top w:w="100" w:type="dxa"/>
              <w:start w:w="120" w:type="dxa"/>
              <w:bottom w:w="100" w:type="dxa"/>
              <w:end w:w="120" w:type="dxa"/>
            </w:tcMar>
          </w:tcPr>
          <w:p>
            <w:pPr>
              <w:spacing w:after="40"/>
            </w:pPr>
            <w:r>
              <w:rPr>
                <w:sz w:val="17"/>
              </w:rPr>
              <w:t>Localized title and slug, summary, year, client, sector, location, project categories, services, challenge, concept, scope, media gallery, hero media, results, credits, featured flag, featured rank, publication state.</w:t>
            </w:r>
          </w:p>
        </w:tc>
      </w:tr>
      <w:tr>
        <w:tc>
          <w:tcPr>
            <w:tcW w:type="dxa" w:w="5083"/>
            <w:vAlign w:val="center"/>
            <w:tcMar>
              <w:top w:w="100" w:type="dxa"/>
              <w:start w:w="120" w:type="dxa"/>
              <w:bottom w:w="100" w:type="dxa"/>
              <w:end w:w="120" w:type="dxa"/>
            </w:tcMar>
          </w:tcPr>
          <w:p>
            <w:pPr>
              <w:spacing w:after="40"/>
            </w:pPr>
            <w:r>
              <w:rPr>
                <w:sz w:val="17"/>
              </w:rPr>
              <w:t>Project Category</w:t>
            </w:r>
          </w:p>
        </w:tc>
        <w:tc>
          <w:tcPr>
            <w:tcW w:type="dxa" w:w="5083"/>
            <w:vAlign w:val="center"/>
            <w:tcMar>
              <w:top w:w="100" w:type="dxa"/>
              <w:start w:w="120" w:type="dxa"/>
              <w:bottom w:w="100" w:type="dxa"/>
              <w:end w:w="120" w:type="dxa"/>
            </w:tcMar>
          </w:tcPr>
          <w:p>
            <w:pPr>
              <w:spacing w:after="40"/>
            </w:pPr>
            <w:r>
              <w:rPr>
                <w:sz w:val="17"/>
              </w:rPr>
              <w:t>Localized label, slug, description, order, icon.</w:t>
            </w:r>
          </w:p>
        </w:tc>
      </w:tr>
      <w:tr>
        <w:tc>
          <w:tcPr>
            <w:tcW w:type="dxa" w:w="5083"/>
            <w:vAlign w:val="center"/>
            <w:tcMar>
              <w:top w:w="100" w:type="dxa"/>
              <w:start w:w="120" w:type="dxa"/>
              <w:bottom w:w="100" w:type="dxa"/>
              <w:end w:w="120" w:type="dxa"/>
            </w:tcMar>
          </w:tcPr>
          <w:p>
            <w:pPr>
              <w:spacing w:after="40"/>
            </w:pPr>
            <w:r>
              <w:rPr>
                <w:sz w:val="17"/>
              </w:rPr>
              <w:t>Service</w:t>
            </w:r>
          </w:p>
        </w:tc>
        <w:tc>
          <w:tcPr>
            <w:tcW w:type="dxa" w:w="5083"/>
            <w:vAlign w:val="center"/>
            <w:tcMar>
              <w:top w:w="100" w:type="dxa"/>
              <w:start w:w="120" w:type="dxa"/>
              <w:bottom w:w="100" w:type="dxa"/>
              <w:end w:w="120" w:type="dxa"/>
            </w:tcMar>
          </w:tcPr>
          <w:p>
            <w:pPr>
              <w:spacing w:after="40"/>
            </w:pPr>
            <w:r>
              <w:rPr>
                <w:sz w:val="17"/>
              </w:rPr>
              <w:t>Localized title, summary, detailed content, capabilities, related projects, order, icon, status such as current or emerging.</w:t>
            </w:r>
          </w:p>
        </w:tc>
      </w:tr>
      <w:tr>
        <w:tc>
          <w:tcPr>
            <w:tcW w:type="dxa" w:w="5083"/>
            <w:vAlign w:val="center"/>
            <w:tcMar>
              <w:top w:w="100" w:type="dxa"/>
              <w:start w:w="120" w:type="dxa"/>
              <w:bottom w:w="100" w:type="dxa"/>
              <w:end w:w="120" w:type="dxa"/>
            </w:tcMar>
          </w:tcPr>
          <w:p>
            <w:pPr>
              <w:spacing w:after="40"/>
            </w:pPr>
            <w:r>
              <w:rPr>
                <w:sz w:val="17"/>
              </w:rPr>
              <w:t>Testimonial</w:t>
            </w:r>
          </w:p>
        </w:tc>
        <w:tc>
          <w:tcPr>
            <w:tcW w:type="dxa" w:w="5083"/>
            <w:vAlign w:val="center"/>
            <w:tcMar>
              <w:top w:w="100" w:type="dxa"/>
              <w:start w:w="120" w:type="dxa"/>
              <w:bottom w:w="100" w:type="dxa"/>
              <w:end w:w="120" w:type="dxa"/>
            </w:tcMar>
          </w:tcPr>
          <w:p>
            <w:pPr>
              <w:spacing w:after="40"/>
            </w:pPr>
            <w:r>
              <w:rPr>
                <w:sz w:val="17"/>
              </w:rPr>
              <w:t>Quote, person, title, organization, project relation, approval state.</w:t>
            </w:r>
          </w:p>
        </w:tc>
      </w:tr>
      <w:tr>
        <w:tc>
          <w:tcPr>
            <w:tcW w:type="dxa" w:w="5083"/>
            <w:vAlign w:val="center"/>
            <w:tcMar>
              <w:top w:w="100" w:type="dxa"/>
              <w:start w:w="120" w:type="dxa"/>
              <w:bottom w:w="100" w:type="dxa"/>
              <w:end w:w="120" w:type="dxa"/>
            </w:tcMar>
          </w:tcPr>
          <w:p>
            <w:pPr>
              <w:spacing w:after="40"/>
            </w:pPr>
            <w:r>
              <w:rPr>
                <w:sz w:val="17"/>
              </w:rPr>
              <w:t>Client</w:t>
            </w:r>
          </w:p>
        </w:tc>
        <w:tc>
          <w:tcPr>
            <w:tcW w:type="dxa" w:w="5083"/>
            <w:vAlign w:val="center"/>
            <w:tcMar>
              <w:top w:w="100" w:type="dxa"/>
              <w:start w:w="120" w:type="dxa"/>
              <w:bottom w:w="100" w:type="dxa"/>
              <w:end w:w="120" w:type="dxa"/>
            </w:tcMar>
          </w:tcPr>
          <w:p>
            <w:pPr>
              <w:spacing w:after="40"/>
            </w:pPr>
            <w:r>
              <w:rPr>
                <w:sz w:val="17"/>
              </w:rPr>
              <w:t>Name, logo, URL, sector, visibility.</w:t>
            </w:r>
          </w:p>
        </w:tc>
      </w:tr>
      <w:tr>
        <w:tc>
          <w:tcPr>
            <w:tcW w:type="dxa" w:w="5083"/>
            <w:vAlign w:val="center"/>
            <w:tcMar>
              <w:top w:w="100" w:type="dxa"/>
              <w:start w:w="120" w:type="dxa"/>
              <w:bottom w:w="100" w:type="dxa"/>
              <w:end w:w="120" w:type="dxa"/>
            </w:tcMar>
          </w:tcPr>
          <w:p>
            <w:pPr>
              <w:spacing w:after="40"/>
            </w:pPr>
            <w:r>
              <w:rPr>
                <w:sz w:val="17"/>
              </w:rPr>
              <w:t>Metric</w:t>
            </w:r>
          </w:p>
        </w:tc>
        <w:tc>
          <w:tcPr>
            <w:tcW w:type="dxa" w:w="5083"/>
            <w:vAlign w:val="center"/>
            <w:tcMar>
              <w:top w:w="100" w:type="dxa"/>
              <w:start w:w="120" w:type="dxa"/>
              <w:bottom w:w="100" w:type="dxa"/>
              <w:end w:w="120" w:type="dxa"/>
            </w:tcMar>
          </w:tcPr>
          <w:p>
            <w:pPr>
              <w:spacing w:after="40"/>
            </w:pPr>
            <w:r>
              <w:rPr>
                <w:sz w:val="17"/>
              </w:rPr>
              <w:t>Localized label, numeric value, unit, context, source note, related project.</w:t>
            </w:r>
          </w:p>
        </w:tc>
      </w:tr>
      <w:tr>
        <w:tc>
          <w:tcPr>
            <w:tcW w:type="dxa" w:w="5083"/>
            <w:vAlign w:val="center"/>
            <w:tcMar>
              <w:top w:w="100" w:type="dxa"/>
              <w:start w:w="120" w:type="dxa"/>
              <w:bottom w:w="100" w:type="dxa"/>
              <w:end w:w="120" w:type="dxa"/>
            </w:tcMar>
          </w:tcPr>
          <w:p>
            <w:pPr>
              <w:spacing w:after="40"/>
            </w:pPr>
            <w:r>
              <w:rPr>
                <w:sz w:val="17"/>
              </w:rPr>
              <w:t>Contact Channel</w:t>
            </w:r>
          </w:p>
        </w:tc>
        <w:tc>
          <w:tcPr>
            <w:tcW w:type="dxa" w:w="5083"/>
            <w:vAlign w:val="center"/>
            <w:tcMar>
              <w:top w:w="100" w:type="dxa"/>
              <w:start w:w="120" w:type="dxa"/>
              <w:bottom w:w="100" w:type="dxa"/>
              <w:end w:w="120" w:type="dxa"/>
            </w:tcMar>
          </w:tcPr>
          <w:p>
            <w:pPr>
              <w:spacing w:after="40"/>
            </w:pPr>
            <w:r>
              <w:rPr>
                <w:sz w:val="17"/>
              </w:rPr>
              <w:t>Purpose, label, person or department, phone, WhatsApp, email, country, availability, priority.</w:t>
            </w:r>
          </w:p>
        </w:tc>
      </w:tr>
      <w:tr>
        <w:tc>
          <w:tcPr>
            <w:tcW w:type="dxa" w:w="5083"/>
            <w:vAlign w:val="center"/>
            <w:tcMar>
              <w:top w:w="100" w:type="dxa"/>
              <w:start w:w="120" w:type="dxa"/>
              <w:bottom w:w="100" w:type="dxa"/>
              <w:end w:w="120" w:type="dxa"/>
            </w:tcMar>
          </w:tcPr>
          <w:p>
            <w:pPr>
              <w:spacing w:after="40"/>
            </w:pPr>
            <w:r>
              <w:rPr>
                <w:sz w:val="17"/>
              </w:rPr>
              <w:t>Team / Partner</w:t>
            </w:r>
          </w:p>
        </w:tc>
        <w:tc>
          <w:tcPr>
            <w:tcW w:type="dxa" w:w="5083"/>
            <w:vAlign w:val="center"/>
            <w:tcMar>
              <w:top w:w="100" w:type="dxa"/>
              <w:start w:w="120" w:type="dxa"/>
              <w:bottom w:w="100" w:type="dxa"/>
              <w:end w:w="120" w:type="dxa"/>
            </w:tcMar>
          </w:tcPr>
          <w:p>
            <w:pPr>
              <w:spacing w:after="40"/>
            </w:pPr>
            <w:r>
              <w:rPr>
                <w:sz w:val="17"/>
              </w:rPr>
              <w:t>Name, role, biography, image, location, partner type.</w:t>
            </w:r>
          </w:p>
        </w:tc>
      </w:tr>
      <w:tr>
        <w:tc>
          <w:tcPr>
            <w:tcW w:type="dxa" w:w="5083"/>
            <w:vAlign w:val="center"/>
            <w:tcMar>
              <w:top w:w="100" w:type="dxa"/>
              <w:start w:w="120" w:type="dxa"/>
              <w:bottom w:w="100" w:type="dxa"/>
              <w:end w:w="120" w:type="dxa"/>
            </w:tcMar>
          </w:tcPr>
          <w:p>
            <w:pPr>
              <w:spacing w:after="40"/>
            </w:pPr>
            <w:r>
              <w:rPr>
                <w:sz w:val="17"/>
              </w:rPr>
              <w:t>Global SEO</w:t>
            </w:r>
          </w:p>
        </w:tc>
        <w:tc>
          <w:tcPr>
            <w:tcW w:type="dxa" w:w="5083"/>
            <w:vAlign w:val="center"/>
            <w:tcMar>
              <w:top w:w="100" w:type="dxa"/>
              <w:start w:w="120" w:type="dxa"/>
              <w:bottom w:w="100" w:type="dxa"/>
              <w:end w:w="120" w:type="dxa"/>
            </w:tcMar>
          </w:tcPr>
          <w:p>
            <w:pPr>
              <w:spacing w:after="40"/>
            </w:pPr>
            <w:r>
              <w:rPr>
                <w:sz w:val="17"/>
              </w:rPr>
              <w:t>Canonical rules, robots defaults, social image, organization schema fields.</w:t>
            </w:r>
          </w:p>
        </w:tc>
      </w:tr>
      <w:tr>
        <w:tc>
          <w:tcPr>
            <w:tcW w:type="dxa" w:w="5083"/>
            <w:vAlign w:val="center"/>
            <w:tcMar>
              <w:top w:w="100" w:type="dxa"/>
              <w:start w:w="120" w:type="dxa"/>
              <w:bottom w:w="100" w:type="dxa"/>
              <w:end w:w="120" w:type="dxa"/>
            </w:tcMar>
          </w:tcPr>
          <w:p>
            <w:pPr>
              <w:spacing w:after="40"/>
            </w:pPr>
            <w:r>
              <w:rPr>
                <w:sz w:val="17"/>
              </w:rPr>
              <w:t>Redirect</w:t>
            </w:r>
          </w:p>
        </w:tc>
        <w:tc>
          <w:tcPr>
            <w:tcW w:type="dxa" w:w="5083"/>
            <w:vAlign w:val="center"/>
            <w:tcMar>
              <w:top w:w="100" w:type="dxa"/>
              <w:start w:w="120" w:type="dxa"/>
              <w:bottom w:w="100" w:type="dxa"/>
              <w:end w:w="120" w:type="dxa"/>
            </w:tcMar>
          </w:tcPr>
          <w:p>
            <w:pPr>
              <w:spacing w:after="40"/>
            </w:pPr>
            <w:r>
              <w:rPr>
                <w:sz w:val="17"/>
              </w:rPr>
              <w:t>Old path, new path, status code.</w:t>
            </w:r>
          </w:p>
        </w:tc>
      </w:tr>
    </w:tbl>
    <w:p>
      <w:pPr>
        <w:pStyle w:val="Heading2"/>
        <w:keepNext/>
      </w:pPr>
      <w:r>
        <w:t>9.1 Editorial rules</w:t>
      </w:r>
    </w:p>
    <w:p>
      <w:pPr>
        <w:pStyle w:val="ListBullet"/>
      </w:pPr>
      <w:r>
        <w:t>Editors can reorder homepage sections and featured projects.</w:t>
      </w:r>
    </w:p>
    <w:p>
      <w:pPr>
        <w:pStyle w:val="ListBullet"/>
      </w:pPr>
      <w:r>
        <w:t>Projects may belong to multiple categories.</w:t>
      </w:r>
    </w:p>
    <w:p>
      <w:pPr>
        <w:pStyle w:val="ListBullet"/>
      </w:pPr>
      <w:r>
        <w:t>Content can be published per language; missing translations use an explicit editorial fallback policy, never accidental mixed-language output.</w:t>
      </w:r>
    </w:p>
    <w:p>
      <w:pPr>
        <w:pStyle w:val="ListBullet"/>
      </w:pPr>
      <w:r>
        <w:t>AI and analytics content must be tagged as “emerging” until Mandegar approves it as a current service.</w:t>
      </w:r>
    </w:p>
    <w:p>
      <w:pPr>
        <w:pStyle w:val="ListBullet"/>
      </w:pPr>
      <w:r>
        <w:t>Every numeric claim requires a source note in the CMS.</w:t>
      </w:r>
    </w:p>
    <w:p>
      <w:pPr>
        <w:pStyle w:val="ListBullet"/>
      </w:pPr>
      <w:r>
        <w:t>Media fields require alt text, focal point, copyright status, and optional mobile crop.</w:t>
      </w:r>
    </w:p>
    <w:p>
      <w:pPr>
        <w:pStyle w:val="Heading1"/>
        <w:keepNext/>
      </w:pPr>
      <w:r>
        <w:t>10. Recommended Technical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EAF1FF"/>
            <w:vAlign w:val="center"/>
            <w:tcMar>
              <w:top w:w="100" w:type="dxa"/>
              <w:start w:w="120" w:type="dxa"/>
              <w:bottom w:w="100" w:type="dxa"/>
              <w:end w:w="120" w:type="dxa"/>
            </w:tcMar>
          </w:tcPr>
          <w:p>
            <w:pPr>
              <w:spacing w:after="40"/>
            </w:pPr>
            <w:r>
              <w:rPr>
                <w:sz w:val="17"/>
              </w:rPr>
              <w:t>Layer</w:t>
            </w:r>
          </w:p>
        </w:tc>
        <w:tc>
          <w:tcPr>
            <w:tcW w:type="dxa" w:w="5083"/>
            <w:shd w:fill="EAF1FF"/>
            <w:vAlign w:val="center"/>
            <w:tcMar>
              <w:top w:w="100" w:type="dxa"/>
              <w:start w:w="120" w:type="dxa"/>
              <w:bottom w:w="100" w:type="dxa"/>
              <w:end w:w="120" w:type="dxa"/>
            </w:tcMar>
          </w:tcPr>
          <w:p>
            <w:pPr>
              <w:spacing w:after="40"/>
            </w:pPr>
            <w:r>
              <w:rPr>
                <w:sz w:val="17"/>
              </w:rPr>
              <w:t>Decision</w:t>
            </w:r>
          </w:p>
        </w:tc>
      </w:tr>
      <w:tr>
        <w:tc>
          <w:tcPr>
            <w:tcW w:type="dxa" w:w="5083"/>
            <w:vAlign w:val="center"/>
            <w:tcMar>
              <w:top w:w="100" w:type="dxa"/>
              <w:start w:w="120" w:type="dxa"/>
              <w:bottom w:w="100" w:type="dxa"/>
              <w:end w:w="120" w:type="dxa"/>
            </w:tcMar>
          </w:tcPr>
          <w:p>
            <w:pPr>
              <w:spacing w:after="40"/>
            </w:pPr>
            <w:r>
              <w:rPr>
                <w:sz w:val="17"/>
              </w:rPr>
              <w:t>Framework</w:t>
            </w:r>
          </w:p>
        </w:tc>
        <w:tc>
          <w:tcPr>
            <w:tcW w:type="dxa" w:w="5083"/>
            <w:vAlign w:val="center"/>
            <w:tcMar>
              <w:top w:w="100" w:type="dxa"/>
              <w:start w:w="120" w:type="dxa"/>
              <w:bottom w:w="100" w:type="dxa"/>
              <w:end w:w="120" w:type="dxa"/>
            </w:tcMar>
          </w:tcPr>
          <w:p>
            <w:pPr>
              <w:spacing w:after="40"/>
            </w:pPr>
            <w:r>
              <w:rPr>
                <w:sz w:val="17"/>
              </w:rPr>
              <w:t>Next.js 16 App Router with TypeScript and React 19.2-compatible packages. Use Server Components for content-first pages and client components only for interactive islands.</w:t>
            </w:r>
          </w:p>
        </w:tc>
      </w:tr>
      <w:tr>
        <w:tc>
          <w:tcPr>
            <w:tcW w:type="dxa" w:w="5083"/>
            <w:vAlign w:val="center"/>
            <w:tcMar>
              <w:top w:w="100" w:type="dxa"/>
              <w:start w:w="120" w:type="dxa"/>
              <w:bottom w:w="100" w:type="dxa"/>
              <w:end w:w="120" w:type="dxa"/>
            </w:tcMar>
          </w:tcPr>
          <w:p>
            <w:pPr>
              <w:spacing w:after="40"/>
            </w:pPr>
            <w:r>
              <w:rPr>
                <w:sz w:val="17"/>
              </w:rPr>
              <w:t>Animation</w:t>
            </w:r>
          </w:p>
        </w:tc>
        <w:tc>
          <w:tcPr>
            <w:tcW w:type="dxa" w:w="5083"/>
            <w:vAlign w:val="center"/>
            <w:tcMar>
              <w:top w:w="100" w:type="dxa"/>
              <w:start w:w="120" w:type="dxa"/>
              <w:bottom w:w="100" w:type="dxa"/>
              <w:end w:w="120" w:type="dxa"/>
            </w:tcMar>
          </w:tcPr>
          <w:p>
            <w:pPr>
              <w:spacing w:after="40"/>
            </w:pPr>
            <w:r>
              <w:rPr>
                <w:sz w:val="17"/>
              </w:rPr>
              <w:t>GSAP 3 with ScrollTrigger for the master scroll timeline and section choreography.</w:t>
            </w:r>
          </w:p>
        </w:tc>
      </w:tr>
      <w:tr>
        <w:tc>
          <w:tcPr>
            <w:tcW w:type="dxa" w:w="5083"/>
            <w:vAlign w:val="center"/>
            <w:tcMar>
              <w:top w:w="100" w:type="dxa"/>
              <w:start w:w="120" w:type="dxa"/>
              <w:bottom w:w="100" w:type="dxa"/>
              <w:end w:w="120" w:type="dxa"/>
            </w:tcMar>
          </w:tcPr>
          <w:p>
            <w:pPr>
              <w:spacing w:after="40"/>
            </w:pPr>
            <w:r>
              <w:rPr>
                <w:sz w:val="17"/>
              </w:rPr>
              <w:t>Smooth scrolling</w:t>
            </w:r>
          </w:p>
        </w:tc>
        <w:tc>
          <w:tcPr>
            <w:tcW w:type="dxa" w:w="5083"/>
            <w:vAlign w:val="center"/>
            <w:tcMar>
              <w:top w:w="100" w:type="dxa"/>
              <w:start w:w="120" w:type="dxa"/>
              <w:bottom w:w="100" w:type="dxa"/>
              <w:end w:w="120" w:type="dxa"/>
            </w:tcMar>
          </w:tcPr>
          <w:p>
            <w:pPr>
              <w:spacing w:after="40"/>
            </w:pPr>
            <w:r>
              <w:rPr>
                <w:sz w:val="17"/>
              </w:rPr>
              <w:t>Use Lenis only if testing confirms it improves the experience without harming native scrolling, accessibility, anchors, or mobile behavior. Integrate it with GSAP’s ticker and provide a feature flag to disable it.</w:t>
            </w:r>
          </w:p>
        </w:tc>
      </w:tr>
      <w:tr>
        <w:tc>
          <w:tcPr>
            <w:tcW w:type="dxa" w:w="5083"/>
            <w:vAlign w:val="center"/>
            <w:tcMar>
              <w:top w:w="100" w:type="dxa"/>
              <w:start w:w="120" w:type="dxa"/>
              <w:bottom w:w="100" w:type="dxa"/>
              <w:end w:w="120" w:type="dxa"/>
            </w:tcMar>
          </w:tcPr>
          <w:p>
            <w:pPr>
              <w:spacing w:after="40"/>
            </w:pPr>
            <w:r>
              <w:rPr>
                <w:sz w:val="17"/>
              </w:rPr>
              <w:t>3D / WebGL</w:t>
            </w:r>
          </w:p>
        </w:tc>
        <w:tc>
          <w:tcPr>
            <w:tcW w:type="dxa" w:w="5083"/>
            <w:vAlign w:val="center"/>
            <w:tcMar>
              <w:top w:w="100" w:type="dxa"/>
              <w:start w:w="120" w:type="dxa"/>
              <w:bottom w:w="100" w:type="dxa"/>
              <w:end w:w="120" w:type="dxa"/>
            </w:tcMar>
          </w:tcPr>
          <w:p>
            <w:pPr>
              <w:spacing w:after="40"/>
            </w:pPr>
            <w:r>
              <w:rPr>
                <w:sz w:val="17"/>
              </w:rPr>
              <w:t>Three.js through React Three Fiber v9 and Drei. Maintain one persistent canvas for the main narrative instead of repeatedly mounting multiple renderers.</w:t>
            </w:r>
          </w:p>
        </w:tc>
      </w:tr>
      <w:tr>
        <w:tc>
          <w:tcPr>
            <w:tcW w:type="dxa" w:w="5083"/>
            <w:vAlign w:val="center"/>
            <w:tcMar>
              <w:top w:w="100" w:type="dxa"/>
              <w:start w:w="120" w:type="dxa"/>
              <w:bottom w:w="100" w:type="dxa"/>
              <w:end w:w="120" w:type="dxa"/>
            </w:tcMar>
          </w:tcPr>
          <w:p>
            <w:pPr>
              <w:spacing w:after="40"/>
            </w:pPr>
            <w:r>
              <w:rPr>
                <w:sz w:val="17"/>
              </w:rPr>
              <w:t>CMS</w:t>
            </w:r>
          </w:p>
        </w:tc>
        <w:tc>
          <w:tcPr>
            <w:tcW w:type="dxa" w:w="5083"/>
            <w:vAlign w:val="center"/>
            <w:tcMar>
              <w:top w:w="100" w:type="dxa"/>
              <w:start w:w="120" w:type="dxa"/>
              <w:bottom w:w="100" w:type="dxa"/>
              <w:end w:w="120" w:type="dxa"/>
            </w:tcMar>
          </w:tcPr>
          <w:p>
            <w:pPr>
              <w:spacing w:after="40"/>
            </w:pPr>
            <w:r>
              <w:rPr>
                <w:sz w:val="17"/>
              </w:rPr>
              <w:t>Sanity Studio and Content Lake with localized documents or fields selected according to content scale. Use webhooks for revalidation.</w:t>
            </w:r>
          </w:p>
        </w:tc>
      </w:tr>
      <w:tr>
        <w:tc>
          <w:tcPr>
            <w:tcW w:type="dxa" w:w="5083"/>
            <w:vAlign w:val="center"/>
            <w:tcMar>
              <w:top w:w="100" w:type="dxa"/>
              <w:start w:w="120" w:type="dxa"/>
              <w:bottom w:w="100" w:type="dxa"/>
              <w:end w:w="120" w:type="dxa"/>
            </w:tcMar>
          </w:tcPr>
          <w:p>
            <w:pPr>
              <w:spacing w:after="40"/>
            </w:pPr>
            <w:r>
              <w:rPr>
                <w:sz w:val="17"/>
              </w:rPr>
              <w:t>Styling</w:t>
            </w:r>
          </w:p>
        </w:tc>
        <w:tc>
          <w:tcPr>
            <w:tcW w:type="dxa" w:w="5083"/>
            <w:vAlign w:val="center"/>
            <w:tcMar>
              <w:top w:w="100" w:type="dxa"/>
              <w:start w:w="120" w:type="dxa"/>
              <w:bottom w:w="100" w:type="dxa"/>
              <w:end w:w="120" w:type="dxa"/>
            </w:tcMar>
          </w:tcPr>
          <w:p>
            <w:pPr>
              <w:spacing w:after="40"/>
            </w:pPr>
            <w:r>
              <w:rPr>
                <w:sz w:val="17"/>
              </w:rPr>
              <w:t>CSS Modules or Tailwind CSS with a tokenized design system. Avoid runtime-heavy CSS-in-JS for core layout.</w:t>
            </w:r>
          </w:p>
        </w:tc>
      </w:tr>
      <w:tr>
        <w:tc>
          <w:tcPr>
            <w:tcW w:type="dxa" w:w="5083"/>
            <w:vAlign w:val="center"/>
            <w:tcMar>
              <w:top w:w="100" w:type="dxa"/>
              <w:start w:w="120" w:type="dxa"/>
              <w:bottom w:w="100" w:type="dxa"/>
              <w:end w:w="120" w:type="dxa"/>
            </w:tcMar>
          </w:tcPr>
          <w:p>
            <w:pPr>
              <w:spacing w:after="40"/>
            </w:pPr>
            <w:r>
              <w:rPr>
                <w:sz w:val="17"/>
              </w:rPr>
              <w:t>Media</w:t>
            </w:r>
          </w:p>
        </w:tc>
        <w:tc>
          <w:tcPr>
            <w:tcW w:type="dxa" w:w="5083"/>
            <w:vAlign w:val="center"/>
            <w:tcMar>
              <w:top w:w="100" w:type="dxa"/>
              <w:start w:w="120" w:type="dxa"/>
              <w:bottom w:w="100" w:type="dxa"/>
              <w:end w:w="120" w:type="dxa"/>
            </w:tcMar>
          </w:tcPr>
          <w:p>
            <w:pPr>
              <w:spacing w:after="40"/>
            </w:pPr>
            <w:r>
              <w:rPr>
                <w:sz w:val="17"/>
              </w:rPr>
              <w:t>Next Image or a compatible image pipeline, Sanity image transformations, modern AVIF/WebP, and adaptive WebM/MP4 video.</w:t>
            </w:r>
          </w:p>
        </w:tc>
      </w:tr>
      <w:tr>
        <w:tc>
          <w:tcPr>
            <w:tcW w:type="dxa" w:w="5083"/>
            <w:vAlign w:val="center"/>
            <w:tcMar>
              <w:top w:w="100" w:type="dxa"/>
              <w:start w:w="120" w:type="dxa"/>
              <w:bottom w:w="100" w:type="dxa"/>
              <w:end w:w="120" w:type="dxa"/>
            </w:tcMar>
          </w:tcPr>
          <w:p>
            <w:pPr>
              <w:spacing w:after="40"/>
            </w:pPr>
            <w:r>
              <w:rPr>
                <w:sz w:val="17"/>
              </w:rPr>
              <w:t>Deployment</w:t>
            </w:r>
          </w:p>
        </w:tc>
        <w:tc>
          <w:tcPr>
            <w:tcW w:type="dxa" w:w="5083"/>
            <w:vAlign w:val="center"/>
            <w:tcMar>
              <w:top w:w="100" w:type="dxa"/>
              <w:start w:w="120" w:type="dxa"/>
              <w:bottom w:w="100" w:type="dxa"/>
              <w:end w:w="120" w:type="dxa"/>
            </w:tcMar>
          </w:tcPr>
          <w:p>
            <w:pPr>
              <w:spacing w:after="40"/>
            </w:pPr>
            <w:r>
              <w:rPr>
                <w:sz w:val="17"/>
              </w:rPr>
              <w:t>Vercel for the Next.js application, Sanity-hosted Studio or a secured subpath, CDN caching, preview environment, and production environment.</w:t>
            </w:r>
          </w:p>
        </w:tc>
      </w:tr>
      <w:tr>
        <w:tc>
          <w:tcPr>
            <w:tcW w:type="dxa" w:w="5083"/>
            <w:vAlign w:val="center"/>
            <w:tcMar>
              <w:top w:w="100" w:type="dxa"/>
              <w:start w:w="120" w:type="dxa"/>
              <w:bottom w:w="100" w:type="dxa"/>
              <w:end w:w="120" w:type="dxa"/>
            </w:tcMar>
          </w:tcPr>
          <w:p>
            <w:pPr>
              <w:spacing w:after="40"/>
            </w:pPr>
            <w:r>
              <w:rPr>
                <w:sz w:val="17"/>
              </w:rPr>
              <w:t>Quality</w:t>
            </w:r>
          </w:p>
        </w:tc>
        <w:tc>
          <w:tcPr>
            <w:tcW w:type="dxa" w:w="5083"/>
            <w:vAlign w:val="center"/>
            <w:tcMar>
              <w:top w:w="100" w:type="dxa"/>
              <w:start w:w="120" w:type="dxa"/>
              <w:bottom w:w="100" w:type="dxa"/>
              <w:end w:w="120" w:type="dxa"/>
            </w:tcMar>
          </w:tcPr>
          <w:p>
            <w:pPr>
              <w:spacing w:after="40"/>
            </w:pPr>
            <w:r>
              <w:rPr>
                <w:sz w:val="17"/>
              </w:rPr>
              <w:t>ESLint, TypeScript strict mode, Prettier, unit tests for utilities, Playwright for critical journeys, Lighthouse CI, and automated accessibility checks.</w:t>
            </w:r>
          </w:p>
        </w:tc>
      </w:tr>
    </w:tbl>
    <w:p>
      <w:pPr>
        <w:pStyle w:val="Heading2"/>
        <w:keepNext/>
      </w:pPr>
      <w:r>
        <w:t>10.1 Rendering strategy</w:t>
      </w:r>
    </w:p>
    <w:p>
      <w:r>
        <w:t>Render all SEO and editorial content as semantic HTML. The WebGL layer is enhancement, never the sole carrier of meaning. On first visit, render the hero copy immediately, then initialize the 3D layer after the critical content is visible or during idle time. Preload only the first small scene. Stream or lazy-load later media near its section.</w:t>
      </w:r>
    </w:p>
    <w:p>
      <w:pPr>
        <w:pStyle w:val="Heading2"/>
        <w:keepNext/>
      </w:pPr>
      <w:r>
        <w:t>10.2 Suggested project structure</w:t>
      </w:r>
    </w:p>
    <w:p>
      <w:r>
        <w:rPr>
          <w:rFonts w:ascii="Consolas" w:hAnsi="Consolas"/>
          <w:sz w:val="16"/>
        </w:rPr>
        <w:t>app/</w:t>
        <w:br/>
        <w:t xml:space="preserve">  [locale]/</w:t>
        <w:br/>
        <w:t xml:space="preserve">    page.tsx</w:t>
        <w:br/>
        <w:t xml:space="preserve">    projects/</w:t>
        <w:br/>
        <w:t xml:space="preserve">    services/</w:t>
        <w:br/>
        <w:t xml:space="preserve">    about/</w:t>
        <w:br/>
        <w:t xml:space="preserve">    contact/</w:t>
        <w:br/>
        <w:t>components/</w:t>
        <w:br/>
        <w:t xml:space="preserve">  layout/</w:t>
        <w:br/>
        <w:t xml:space="preserve">  sections/</w:t>
        <w:br/>
        <w:t xml:space="preserve">  project/</w:t>
        <w:br/>
        <w:t xml:space="preserve">  contact/</w:t>
        <w:br/>
        <w:t>experience/</w:t>
        <w:br/>
        <w:t xml:space="preserve">  canvas/</w:t>
        <w:br/>
        <w:t xml:space="preserve">  scenes/</w:t>
        <w:br/>
        <w:t xml:space="preserve">  timeline/</w:t>
        <w:br/>
        <w:t xml:space="preserve">  shaders/</w:t>
        <w:br/>
        <w:t xml:space="preserve">  performance/</w:t>
        <w:br/>
        <w:t>lib/</w:t>
        <w:br/>
        <w:t xml:space="preserve">  sanity/</w:t>
        <w:br/>
        <w:t xml:space="preserve">  i18n/</w:t>
        <w:br/>
        <w:t xml:space="preserve">  seo/</w:t>
        <w:br/>
        <w:t xml:space="preserve">  analytics/</w:t>
        <w:br/>
        <w:t xml:space="preserve">  media/</w:t>
        <w:br/>
        <w:t>sanity/</w:t>
        <w:br/>
        <w:t xml:space="preserve">  schemaTypes/</w:t>
        <w:br/>
        <w:t xml:space="preserve">  structure/</w:t>
        <w:br/>
        <w:t xml:space="preserve">  previews/</w:t>
        <w:br/>
        <w:t>styles/</w:t>
        <w:br/>
        <w:t xml:space="preserve">  tokens.css</w:t>
        <w:br/>
        <w:t xml:space="preserve">  globals.css</w:t>
        <w:br/>
        <w:t>tests/</w:t>
        <w:br/>
        <w:t xml:space="preserve">  e2e/</w:t>
        <w:br/>
        <w:t xml:space="preserve">  unit/</w:t>
      </w:r>
    </w:p>
    <w:p>
      <w:pPr>
        <w:pStyle w:val="Heading1"/>
        <w:keepNext/>
      </w:pPr>
      <w:r>
        <w:t>11. Performance and Experience Budgets</w:t>
      </w:r>
    </w:p>
    <w:p>
      <w:r>
        <w:t>Performance is a design constraint. The generator must not add visual effects without measuring their cost.</w:t>
      </w:r>
    </w:p>
    <w:tbl>
      <w:tblPr>
        <w:tblStyle w:val="TableGrid"/>
        <w:tblW w:type="auto" w:w="0"/>
        <w:jc w:val="center"/>
        <w:tblLook w:firstColumn="1" w:firstRow="1" w:lastColumn="0" w:lastRow="0" w:noHBand="0" w:noVBand="1" w:val="04A0"/>
      </w:tblPr>
      <w:tblGrid>
        <w:gridCol w:w="5083"/>
        <w:gridCol w:w="5083"/>
      </w:tblGrid>
      <w:tr>
        <w:tc>
          <w:tcPr>
            <w:tcW w:type="dxa" w:w="5083"/>
            <w:shd w:fill="EAF1FF"/>
            <w:vAlign w:val="center"/>
            <w:tcMar>
              <w:top w:w="100" w:type="dxa"/>
              <w:start w:w="120" w:type="dxa"/>
              <w:bottom w:w="100" w:type="dxa"/>
              <w:end w:w="120" w:type="dxa"/>
            </w:tcMar>
          </w:tcPr>
          <w:p>
            <w:pPr>
              <w:spacing w:after="40"/>
            </w:pPr>
            <w:r>
              <w:rPr>
                <w:sz w:val="17"/>
              </w:rPr>
              <w:t>Area</w:t>
            </w:r>
          </w:p>
        </w:tc>
        <w:tc>
          <w:tcPr>
            <w:tcW w:type="dxa" w:w="5083"/>
            <w:shd w:fill="EAF1FF"/>
            <w:vAlign w:val="center"/>
            <w:tcMar>
              <w:top w:w="100" w:type="dxa"/>
              <w:start w:w="120" w:type="dxa"/>
              <w:bottom w:w="100" w:type="dxa"/>
              <w:end w:w="120" w:type="dxa"/>
            </w:tcMar>
          </w:tcPr>
          <w:p>
            <w:pPr>
              <w:spacing w:after="40"/>
            </w:pPr>
            <w:r>
              <w:rPr>
                <w:sz w:val="17"/>
              </w:rPr>
              <w:t>Requirement</w:t>
            </w:r>
          </w:p>
        </w:tc>
      </w:tr>
      <w:tr>
        <w:tc>
          <w:tcPr>
            <w:tcW w:type="dxa" w:w="5083"/>
            <w:vAlign w:val="center"/>
            <w:tcMar>
              <w:top w:w="100" w:type="dxa"/>
              <w:start w:w="120" w:type="dxa"/>
              <w:bottom w:w="100" w:type="dxa"/>
              <w:end w:w="120" w:type="dxa"/>
            </w:tcMar>
          </w:tcPr>
          <w:p>
            <w:pPr>
              <w:spacing w:after="40"/>
            </w:pPr>
            <w:r>
              <w:rPr>
                <w:sz w:val="17"/>
              </w:rPr>
              <w:t>Critical HTML + CSS + essential JS</w:t>
            </w:r>
          </w:p>
        </w:tc>
        <w:tc>
          <w:tcPr>
            <w:tcW w:type="dxa" w:w="5083"/>
            <w:vAlign w:val="center"/>
            <w:tcMar>
              <w:top w:w="100" w:type="dxa"/>
              <w:start w:w="120" w:type="dxa"/>
              <w:bottom w:w="100" w:type="dxa"/>
              <w:end w:w="120" w:type="dxa"/>
            </w:tcMar>
          </w:tcPr>
          <w:p>
            <w:pPr>
              <w:spacing w:after="40"/>
            </w:pPr>
            <w:r>
              <w:rPr>
                <w:sz w:val="17"/>
              </w:rPr>
              <w:t>Target the smallest practical payload; keep the initial interactive route lean and code-split the WebGL experience.</w:t>
            </w:r>
          </w:p>
        </w:tc>
      </w:tr>
      <w:tr>
        <w:tc>
          <w:tcPr>
            <w:tcW w:type="dxa" w:w="5083"/>
            <w:vAlign w:val="center"/>
            <w:tcMar>
              <w:top w:w="100" w:type="dxa"/>
              <w:start w:w="120" w:type="dxa"/>
              <w:bottom w:w="100" w:type="dxa"/>
              <w:end w:w="120" w:type="dxa"/>
            </w:tcMar>
          </w:tcPr>
          <w:p>
            <w:pPr>
              <w:spacing w:after="40"/>
            </w:pPr>
            <w:r>
              <w:rPr>
                <w:sz w:val="17"/>
              </w:rPr>
              <w:t>3D first scene</w:t>
            </w:r>
          </w:p>
        </w:tc>
        <w:tc>
          <w:tcPr>
            <w:tcW w:type="dxa" w:w="5083"/>
            <w:vAlign w:val="center"/>
            <w:tcMar>
              <w:top w:w="100" w:type="dxa"/>
              <w:start w:w="120" w:type="dxa"/>
              <w:bottom w:w="100" w:type="dxa"/>
              <w:end w:w="120" w:type="dxa"/>
            </w:tcMar>
          </w:tcPr>
          <w:p>
            <w:pPr>
              <w:spacing w:after="40"/>
            </w:pPr>
            <w:r>
              <w:rPr>
                <w:sz w:val="17"/>
              </w:rPr>
              <w:t>Prefer a sub-megabyte compressed first scene. Load later models only when needed.</w:t>
            </w:r>
          </w:p>
        </w:tc>
      </w:tr>
      <w:tr>
        <w:tc>
          <w:tcPr>
            <w:tcW w:type="dxa" w:w="5083"/>
            <w:vAlign w:val="center"/>
            <w:tcMar>
              <w:top w:w="100" w:type="dxa"/>
              <w:start w:w="120" w:type="dxa"/>
              <w:bottom w:w="100" w:type="dxa"/>
              <w:end w:w="120" w:type="dxa"/>
            </w:tcMar>
          </w:tcPr>
          <w:p>
            <w:pPr>
              <w:spacing w:after="40"/>
            </w:pPr>
            <w:r>
              <w:rPr>
                <w:sz w:val="17"/>
              </w:rPr>
              <w:t>Textures</w:t>
            </w:r>
          </w:p>
        </w:tc>
        <w:tc>
          <w:tcPr>
            <w:tcW w:type="dxa" w:w="5083"/>
            <w:vAlign w:val="center"/>
            <w:tcMar>
              <w:top w:w="100" w:type="dxa"/>
              <w:start w:w="120" w:type="dxa"/>
              <w:bottom w:w="100" w:type="dxa"/>
              <w:end w:w="120" w:type="dxa"/>
            </w:tcMar>
          </w:tcPr>
          <w:p>
            <w:pPr>
              <w:spacing w:after="40"/>
            </w:pPr>
            <w:r>
              <w:rPr>
                <w:sz w:val="17"/>
              </w:rPr>
              <w:t>KTX2 or compressed modern formats, sensible dimensions, shared textures, atlases where useful.</w:t>
            </w:r>
          </w:p>
        </w:tc>
      </w:tr>
      <w:tr>
        <w:tc>
          <w:tcPr>
            <w:tcW w:type="dxa" w:w="5083"/>
            <w:vAlign w:val="center"/>
            <w:tcMar>
              <w:top w:w="100" w:type="dxa"/>
              <w:start w:w="120" w:type="dxa"/>
              <w:bottom w:w="100" w:type="dxa"/>
              <w:end w:w="120" w:type="dxa"/>
            </w:tcMar>
          </w:tcPr>
          <w:p>
            <w:pPr>
              <w:spacing w:after="40"/>
            </w:pPr>
            <w:r>
              <w:rPr>
                <w:sz w:val="17"/>
              </w:rPr>
              <w:t>Geometry</w:t>
            </w:r>
          </w:p>
        </w:tc>
        <w:tc>
          <w:tcPr>
            <w:tcW w:type="dxa" w:w="5083"/>
            <w:vAlign w:val="center"/>
            <w:tcMar>
              <w:top w:w="100" w:type="dxa"/>
              <w:start w:w="120" w:type="dxa"/>
              <w:bottom w:w="100" w:type="dxa"/>
              <w:end w:w="120" w:type="dxa"/>
            </w:tcMar>
          </w:tcPr>
          <w:p>
            <w:pPr>
              <w:spacing w:after="40"/>
            </w:pPr>
            <w:r>
              <w:rPr>
                <w:sz w:val="17"/>
              </w:rPr>
              <w:t>GLB with Meshopt or Draco where beneficial; low polygon counts; instancing for repeated objects.</w:t>
            </w:r>
          </w:p>
        </w:tc>
      </w:tr>
      <w:tr>
        <w:tc>
          <w:tcPr>
            <w:tcW w:type="dxa" w:w="5083"/>
            <w:vAlign w:val="center"/>
            <w:tcMar>
              <w:top w:w="100" w:type="dxa"/>
              <w:start w:w="120" w:type="dxa"/>
              <w:bottom w:w="100" w:type="dxa"/>
              <w:end w:w="120" w:type="dxa"/>
            </w:tcMar>
          </w:tcPr>
          <w:p>
            <w:pPr>
              <w:spacing w:after="40"/>
            </w:pPr>
            <w:r>
              <w:rPr>
                <w:sz w:val="17"/>
              </w:rPr>
              <w:t>Lighting</w:t>
            </w:r>
          </w:p>
        </w:tc>
        <w:tc>
          <w:tcPr>
            <w:tcW w:type="dxa" w:w="5083"/>
            <w:vAlign w:val="center"/>
            <w:tcMar>
              <w:top w:w="100" w:type="dxa"/>
              <w:start w:w="120" w:type="dxa"/>
              <w:bottom w:w="100" w:type="dxa"/>
              <w:end w:w="120" w:type="dxa"/>
            </w:tcMar>
          </w:tcPr>
          <w:p>
            <w:pPr>
              <w:spacing w:after="40"/>
            </w:pPr>
            <w:r>
              <w:rPr>
                <w:sz w:val="17"/>
              </w:rPr>
              <w:t>Baked lighting and ambient occlusion. Avoid expensive real-time shadows and reflections on mobile.</w:t>
            </w:r>
          </w:p>
        </w:tc>
      </w:tr>
      <w:tr>
        <w:tc>
          <w:tcPr>
            <w:tcW w:type="dxa" w:w="5083"/>
            <w:vAlign w:val="center"/>
            <w:tcMar>
              <w:top w:w="100" w:type="dxa"/>
              <w:start w:w="120" w:type="dxa"/>
              <w:bottom w:w="100" w:type="dxa"/>
              <w:end w:w="120" w:type="dxa"/>
            </w:tcMar>
          </w:tcPr>
          <w:p>
            <w:pPr>
              <w:spacing w:after="40"/>
            </w:pPr>
            <w:r>
              <w:rPr>
                <w:sz w:val="17"/>
              </w:rPr>
              <w:t>Video</w:t>
            </w:r>
          </w:p>
        </w:tc>
        <w:tc>
          <w:tcPr>
            <w:tcW w:type="dxa" w:w="5083"/>
            <w:vAlign w:val="center"/>
            <w:tcMar>
              <w:top w:w="100" w:type="dxa"/>
              <w:start w:w="120" w:type="dxa"/>
              <w:bottom w:w="100" w:type="dxa"/>
              <w:end w:w="120" w:type="dxa"/>
            </w:tcMar>
          </w:tcPr>
          <w:p>
            <w:pPr>
              <w:spacing w:after="40"/>
            </w:pPr>
            <w:r>
              <w:rPr>
                <w:sz w:val="17"/>
              </w:rPr>
              <w:t>Short, muted, looped previews with poster images. Adaptive sources by viewport and connection quality. Never autoplay audio.</w:t>
            </w:r>
          </w:p>
        </w:tc>
      </w:tr>
      <w:tr>
        <w:tc>
          <w:tcPr>
            <w:tcW w:type="dxa" w:w="5083"/>
            <w:vAlign w:val="center"/>
            <w:tcMar>
              <w:top w:w="100" w:type="dxa"/>
              <w:start w:w="120" w:type="dxa"/>
              <w:bottom w:w="100" w:type="dxa"/>
              <w:end w:w="120" w:type="dxa"/>
            </w:tcMar>
          </w:tcPr>
          <w:p>
            <w:pPr>
              <w:spacing w:after="40"/>
            </w:pPr>
            <w:r>
              <w:rPr>
                <w:sz w:val="17"/>
              </w:rPr>
              <w:t>Frame rate</w:t>
            </w:r>
          </w:p>
        </w:tc>
        <w:tc>
          <w:tcPr>
            <w:tcW w:type="dxa" w:w="5083"/>
            <w:vAlign w:val="center"/>
            <w:tcMar>
              <w:top w:w="100" w:type="dxa"/>
              <w:start w:w="120" w:type="dxa"/>
              <w:bottom w:w="100" w:type="dxa"/>
              <w:end w:w="120" w:type="dxa"/>
            </w:tcMar>
          </w:tcPr>
          <w:p>
            <w:pPr>
              <w:spacing w:after="40"/>
            </w:pPr>
            <w:r>
              <w:rPr>
                <w:sz w:val="17"/>
              </w:rPr>
              <w:t>Aim for stable 60 fps on modern desktop and 30–60 fps on supported mobile. Adapt DPR, effects, and scene complexity dynamically.</w:t>
            </w:r>
          </w:p>
        </w:tc>
      </w:tr>
      <w:tr>
        <w:tc>
          <w:tcPr>
            <w:tcW w:type="dxa" w:w="5083"/>
            <w:vAlign w:val="center"/>
            <w:tcMar>
              <w:top w:w="100" w:type="dxa"/>
              <w:start w:w="120" w:type="dxa"/>
              <w:bottom w:w="100" w:type="dxa"/>
              <w:end w:w="120" w:type="dxa"/>
            </w:tcMar>
          </w:tcPr>
          <w:p>
            <w:pPr>
              <w:spacing w:after="40"/>
            </w:pPr>
            <w:r>
              <w:rPr>
                <w:sz w:val="17"/>
              </w:rPr>
              <w:t>Core Web Vitals</w:t>
            </w:r>
          </w:p>
        </w:tc>
        <w:tc>
          <w:tcPr>
            <w:tcW w:type="dxa" w:w="5083"/>
            <w:vAlign w:val="center"/>
            <w:tcMar>
              <w:top w:w="100" w:type="dxa"/>
              <w:start w:w="120" w:type="dxa"/>
              <w:bottom w:w="100" w:type="dxa"/>
              <w:end w:w="120" w:type="dxa"/>
            </w:tcMar>
          </w:tcPr>
          <w:p>
            <w:pPr>
              <w:spacing w:after="40"/>
            </w:pPr>
            <w:r>
              <w:rPr>
                <w:sz w:val="17"/>
              </w:rPr>
              <w:t>Target good thresholds for LCP, INP, and CLS on representative devices and realistic network profiles.</w:t>
            </w:r>
          </w:p>
        </w:tc>
      </w:tr>
      <w:tr>
        <w:tc>
          <w:tcPr>
            <w:tcW w:type="dxa" w:w="5083"/>
            <w:vAlign w:val="center"/>
            <w:tcMar>
              <w:top w:w="100" w:type="dxa"/>
              <w:start w:w="120" w:type="dxa"/>
              <w:bottom w:w="100" w:type="dxa"/>
              <w:end w:w="120" w:type="dxa"/>
            </w:tcMar>
          </w:tcPr>
          <w:p>
            <w:pPr>
              <w:spacing w:after="40"/>
            </w:pPr>
            <w:r>
              <w:rPr>
                <w:sz w:val="17"/>
              </w:rPr>
              <w:t>Reduced motion</w:t>
            </w:r>
          </w:p>
        </w:tc>
        <w:tc>
          <w:tcPr>
            <w:tcW w:type="dxa" w:w="5083"/>
            <w:vAlign w:val="center"/>
            <w:tcMar>
              <w:top w:w="100" w:type="dxa"/>
              <w:start w:w="120" w:type="dxa"/>
              <w:bottom w:w="100" w:type="dxa"/>
              <w:end w:w="120" w:type="dxa"/>
            </w:tcMar>
          </w:tcPr>
          <w:p>
            <w:pPr>
              <w:spacing w:after="40"/>
            </w:pPr>
            <w:r>
              <w:rPr>
                <w:sz w:val="17"/>
              </w:rPr>
              <w:t>Provide a complete non-cinematic path with instant section states, no scroll-jacking, and no essential information lost.</w:t>
            </w:r>
          </w:p>
        </w:tc>
      </w:tr>
      <w:tr>
        <w:tc>
          <w:tcPr>
            <w:tcW w:type="dxa" w:w="5083"/>
            <w:vAlign w:val="center"/>
            <w:tcMar>
              <w:top w:w="100" w:type="dxa"/>
              <w:start w:w="120" w:type="dxa"/>
              <w:bottom w:w="100" w:type="dxa"/>
              <w:end w:w="120" w:type="dxa"/>
            </w:tcMar>
          </w:tcPr>
          <w:p>
            <w:pPr>
              <w:spacing w:after="40"/>
            </w:pPr>
            <w:r>
              <w:rPr>
                <w:sz w:val="17"/>
              </w:rPr>
              <w:t>Low-power mode</w:t>
            </w:r>
          </w:p>
        </w:tc>
        <w:tc>
          <w:tcPr>
            <w:tcW w:type="dxa" w:w="5083"/>
            <w:vAlign w:val="center"/>
            <w:tcMar>
              <w:top w:w="100" w:type="dxa"/>
              <w:start w:w="120" w:type="dxa"/>
              <w:bottom w:w="100" w:type="dxa"/>
              <w:end w:w="120" w:type="dxa"/>
            </w:tcMar>
          </w:tcPr>
          <w:p>
            <w:pPr>
              <w:spacing w:after="40"/>
            </w:pPr>
            <w:r>
              <w:rPr>
                <w:sz w:val="17"/>
              </w:rPr>
              <w:t>Disable post-processing, reduce DPR, simplify materials and particles, and replace selected 3D moments with image or video fallbacks.</w:t>
            </w:r>
          </w:p>
        </w:tc>
      </w:tr>
    </w:tbl>
    <w:p>
      <w:pPr>
        <w:pStyle w:val="Heading2"/>
        <w:keepNext/>
      </w:pPr>
      <w:r>
        <w:t>11.1 Prohibited performance patterns</w:t>
      </w:r>
    </w:p>
    <w:p>
      <w:pPr>
        <w:pStyle w:val="ListBullet"/>
      </w:pPr>
      <w:r>
        <w:t>Multiple continuously running WebGL canvases on the same page.</w:t>
      </w:r>
    </w:p>
    <w:p>
      <w:pPr>
        <w:pStyle w:val="ListBullet"/>
      </w:pPr>
      <w:r>
        <w:t>Large uncompressed 4K textures or videos loaded on initial navigation.</w:t>
      </w:r>
    </w:p>
    <w:p>
      <w:pPr>
        <w:pStyle w:val="ListBullet"/>
      </w:pPr>
      <w:r>
        <w:t>Continuous React state updates for per-frame animation.</w:t>
      </w:r>
    </w:p>
    <w:p>
      <w:pPr>
        <w:pStyle w:val="ListBullet"/>
      </w:pPr>
      <w:r>
        <w:t>Heavy post-processing enabled universally.</w:t>
      </w:r>
    </w:p>
    <w:p>
      <w:pPr>
        <w:pStyle w:val="ListBullet"/>
      </w:pPr>
      <w:r>
        <w:t>Scroll behavior that blocks native input, keyboard navigation, or browser controls.</w:t>
      </w:r>
    </w:p>
    <w:p>
      <w:pPr>
        <w:pStyle w:val="ListBullet"/>
      </w:pPr>
      <w:r>
        <w:t>Loading all project galleries before the user opens them.</w:t>
      </w:r>
    </w:p>
    <w:p>
      <w:pPr>
        <w:pStyle w:val="Heading1"/>
        <w:keepNext/>
      </w:pPr>
      <w:r>
        <w:t>12. Responsive, Mobile, and Accessibility Behavior</w:t>
      </w:r>
    </w:p>
    <w:p>
      <w:r>
        <w:t>Mobile is not a reduced desktop composition; it is an intentionally art-directed version. Preserve the story but simplify spatial motion, camera travel, object count, and media layering. Keep text readable and interactions touch-safe.</w:t>
      </w:r>
    </w:p>
    <w:p>
      <w:pPr>
        <w:pStyle w:val="ListBullet"/>
      </w:pPr>
      <w:r>
        <w:t>Semantic headings, landmarks, links, and buttons.</w:t>
      </w:r>
    </w:p>
    <w:p>
      <w:pPr>
        <w:pStyle w:val="ListBullet"/>
      </w:pPr>
      <w:r>
        <w:t>Keyboard-operable navigation, filters, dialogs, and contact controls.</w:t>
      </w:r>
    </w:p>
    <w:p>
      <w:pPr>
        <w:pStyle w:val="ListBullet"/>
      </w:pPr>
      <w:r>
        <w:t>Visible focus states with logical focus order.</w:t>
      </w:r>
    </w:p>
    <w:p>
      <w:pPr>
        <w:pStyle w:val="ListBullet"/>
      </w:pPr>
      <w:r>
        <w:t>WCAG AA color contrast for essential text and controls.</w:t>
      </w:r>
    </w:p>
    <w:p>
      <w:pPr>
        <w:pStyle w:val="ListBullet"/>
      </w:pPr>
      <w:r>
        <w:t>Meaningful alt text and captions for project media.</w:t>
      </w:r>
    </w:p>
    <w:p>
      <w:pPr>
        <w:pStyle w:val="ListBullet"/>
      </w:pPr>
      <w:r>
        <w:t>No information conveyed only by animation, color, hover, or sound.</w:t>
      </w:r>
    </w:p>
    <w:p>
      <w:pPr>
        <w:pStyle w:val="ListBullet"/>
      </w:pPr>
      <w:r>
        <w:t>Respect prefers-reduced-motion and data-saving contexts.</w:t>
      </w:r>
    </w:p>
    <w:p>
      <w:pPr>
        <w:pStyle w:val="ListBullet"/>
      </w:pPr>
      <w:r>
        <w:t>Pause or stop controls for long animation or video where required.</w:t>
      </w:r>
    </w:p>
    <w:p>
      <w:pPr>
        <w:pStyle w:val="ListBullet"/>
      </w:pPr>
      <w:r>
        <w:t>Language and direction attributes set at document and component level.</w:t>
      </w:r>
    </w:p>
    <w:p>
      <w:pPr>
        <w:pStyle w:val="ListBullet"/>
      </w:pPr>
      <w:r>
        <w:t>Do not trap scrolling or focus inside the immersive section.</w:t>
      </w:r>
    </w:p>
    <w:p>
      <w:pPr>
        <w:pStyle w:val="Heading1"/>
        <w:keepNext/>
      </w:pPr>
      <w:r>
        <w:t>13. Projects and Case Studies</w:t>
      </w:r>
    </w:p>
    <w:p>
      <w:r>
        <w:t>Projects are the principal evidence layer. The archive must support CMS-defined filters such as events, exhibitions, interactive experiences, games, photo experiences, content production, and later AI and analytics. Categories remain editable, and a project may belong to more than one category.</w:t>
      </w:r>
    </w:p>
    <w:p>
      <w:pPr>
        <w:pStyle w:val="Heading2"/>
        <w:keepNext/>
      </w:pPr>
      <w:r>
        <w:t>13.1 Project card</w:t>
      </w:r>
    </w:p>
    <w:p>
      <w:r>
        <w:t>Each card includes hero image or short muted video, project title, year, location, categories, and a concise outcome-oriented line. Hover behavior is enhancement only and must have an equivalent touch behavior.</w:t>
      </w:r>
    </w:p>
    <w:p>
      <w:pPr>
        <w:pStyle w:val="Heading2"/>
        <w:keepNext/>
      </w:pPr>
      <w:r>
        <w:t>13.2 Project detail template</w:t>
      </w:r>
    </w:p>
    <w:p>
      <w:pPr>
        <w:pStyle w:val="ListBullet"/>
      </w:pPr>
      <w:r>
        <w:t>Hero media and concise overview.</w:t>
      </w:r>
    </w:p>
    <w:p>
      <w:pPr>
        <w:pStyle w:val="ListBullet"/>
      </w:pPr>
      <w:r>
        <w:t>Challenge or objective.</w:t>
      </w:r>
    </w:p>
    <w:p>
      <w:pPr>
        <w:pStyle w:val="ListBullet"/>
      </w:pPr>
      <w:r>
        <w:t>Mandegar’s concept and approach.</w:t>
      </w:r>
    </w:p>
    <w:p>
      <w:pPr>
        <w:pStyle w:val="ListBullet"/>
      </w:pPr>
      <w:r>
        <w:t>Full scope and services provided.</w:t>
      </w:r>
    </w:p>
    <w:p>
      <w:pPr>
        <w:pStyle w:val="ListBullet"/>
      </w:pPr>
      <w:r>
        <w:t>Experience and technology highlights.</w:t>
      </w:r>
    </w:p>
    <w:p>
      <w:pPr>
        <w:pStyle w:val="ListBullet"/>
      </w:pPr>
      <w:r>
        <w:t>Photography and video gallery.</w:t>
      </w:r>
    </w:p>
    <w:p>
      <w:pPr>
        <w:pStyle w:val="ListBullet"/>
      </w:pPr>
      <w:r>
        <w:t>Outcome and verified metrics where available.</w:t>
      </w:r>
    </w:p>
    <w:p>
      <w:pPr>
        <w:pStyle w:val="ListBullet"/>
      </w:pPr>
      <w:r>
        <w:t>Credits and collaborators.</w:t>
      </w:r>
    </w:p>
    <w:p>
      <w:pPr>
        <w:pStyle w:val="ListBullet"/>
      </w:pPr>
      <w:r>
        <w:t>Related projects and contextual next step.</w:t>
      </w:r>
    </w:p>
    <w:p>
      <w:pPr>
        <w:pStyle w:val="Heading1"/>
        <w:keepNext/>
      </w:pPr>
      <w:r>
        <w:t>14. AI and Event Intelligence</w:t>
      </w:r>
    </w:p>
    <w:p>
      <w:r>
        <w:t>AI must be visible as part of Mandegar’s direction, but claims must remain truthful. Present this as an emerging capability built around real event data, not a finished universal analytics product.</w:t>
      </w:r>
    </w:p>
    <w:p>
      <w:r>
        <w:t>Potential data sources include registration, attendance, session activity, webinar retention, polls, games, interactive booths, surveys, feedback, lead capture, and operational event logs.</w:t>
      </w:r>
    </w:p>
    <w:p>
      <w:r>
        <w:t>Potential outputs include engagement summaries, participation patterns, sentiment and feedback analysis, lead grouping, AI-generated event summaries, post-event reports, and recommendations for future events. The CMS must allow each capability to be labeled as planned, pilot, available, or case-study proven.</w:t>
      </w:r>
    </w:p>
    <w:p>
      <w:pPr>
        <w:pStyle w:val="Heading1"/>
        <w:keepNext/>
      </w:pPr>
      <w:r>
        <w:t>15. Contact and Conversion</w:t>
      </w:r>
    </w:p>
    <w:p>
      <w:r>
        <w:t>The website should earn trust before asking for contact. The opening CTA is “Explore the Experience,” while “Start a Project” remains available in the header. The final conversion area prioritizes direct conversation.</w:t>
      </w:r>
    </w:p>
    <w:tbl>
      <w:tblPr>
        <w:tblStyle w:val="TableGrid"/>
        <w:tblW w:type="auto" w:w="0"/>
        <w:jc w:val="center"/>
        <w:tblLook w:firstColumn="1" w:firstRow="1" w:lastColumn="0" w:lastRow="0" w:noHBand="0" w:noVBand="1" w:val="04A0"/>
      </w:tblPr>
      <w:tblGrid>
        <w:gridCol w:w="5083"/>
        <w:gridCol w:w="5083"/>
      </w:tblGrid>
      <w:tr>
        <w:tc>
          <w:tcPr>
            <w:tcW w:type="dxa" w:w="5083"/>
            <w:shd w:fill="EAF1FF"/>
            <w:vAlign w:val="center"/>
            <w:tcMar>
              <w:top w:w="100" w:type="dxa"/>
              <w:start w:w="120" w:type="dxa"/>
              <w:bottom w:w="100" w:type="dxa"/>
              <w:end w:w="120" w:type="dxa"/>
            </w:tcMar>
          </w:tcPr>
          <w:p>
            <w:pPr>
              <w:spacing w:after="40"/>
            </w:pPr>
            <w:r>
              <w:rPr>
                <w:sz w:val="17"/>
              </w:rPr>
              <w:t>Channel</w:t>
            </w:r>
          </w:p>
        </w:tc>
        <w:tc>
          <w:tcPr>
            <w:tcW w:type="dxa" w:w="5083"/>
            <w:shd w:fill="EAF1FF"/>
            <w:vAlign w:val="center"/>
            <w:tcMar>
              <w:top w:w="100" w:type="dxa"/>
              <w:start w:w="120" w:type="dxa"/>
              <w:bottom w:w="100" w:type="dxa"/>
              <w:end w:w="120" w:type="dxa"/>
            </w:tcMar>
          </w:tcPr>
          <w:p>
            <w:pPr>
              <w:spacing w:after="40"/>
            </w:pPr>
            <w:r>
              <w:rPr>
                <w:sz w:val="17"/>
              </w:rPr>
              <w:t>Behavior</w:t>
            </w:r>
          </w:p>
        </w:tc>
      </w:tr>
      <w:tr>
        <w:tc>
          <w:tcPr>
            <w:tcW w:type="dxa" w:w="5083"/>
            <w:vAlign w:val="center"/>
            <w:tcMar>
              <w:top w:w="100" w:type="dxa"/>
              <w:start w:w="120" w:type="dxa"/>
              <w:bottom w:w="100" w:type="dxa"/>
              <w:end w:w="120" w:type="dxa"/>
            </w:tcMar>
          </w:tcPr>
          <w:p>
            <w:pPr>
              <w:spacing w:after="40"/>
            </w:pPr>
            <w:r>
              <w:rPr>
                <w:sz w:val="17"/>
              </w:rPr>
              <w:t>Sales / Start a Project</w:t>
            </w:r>
          </w:p>
        </w:tc>
        <w:tc>
          <w:tcPr>
            <w:tcW w:type="dxa" w:w="5083"/>
            <w:vAlign w:val="center"/>
            <w:tcMar>
              <w:top w:w="100" w:type="dxa"/>
              <w:start w:w="120" w:type="dxa"/>
              <w:bottom w:w="100" w:type="dxa"/>
              <w:end w:w="120" w:type="dxa"/>
            </w:tcMar>
          </w:tcPr>
          <w:p>
            <w:pPr>
              <w:spacing w:after="40"/>
            </w:pPr>
            <w:r>
              <w:rPr>
                <w:sz w:val="17"/>
              </w:rPr>
              <w:t>Primary phone and primary WhatsApp. This is the main conversion path.</w:t>
            </w:r>
          </w:p>
        </w:tc>
      </w:tr>
      <w:tr>
        <w:tc>
          <w:tcPr>
            <w:tcW w:type="dxa" w:w="5083"/>
            <w:vAlign w:val="center"/>
            <w:tcMar>
              <w:top w:w="100" w:type="dxa"/>
              <w:start w:w="120" w:type="dxa"/>
              <w:bottom w:w="100" w:type="dxa"/>
              <w:end w:w="120" w:type="dxa"/>
            </w:tcMar>
          </w:tcPr>
          <w:p>
            <w:pPr>
              <w:spacing w:after="40"/>
            </w:pPr>
            <w:r>
              <w:rPr>
                <w:sz w:val="17"/>
              </w:rPr>
              <w:t>General inquiries</w:t>
            </w:r>
          </w:p>
        </w:tc>
        <w:tc>
          <w:tcPr>
            <w:tcW w:type="dxa" w:w="5083"/>
            <w:vAlign w:val="center"/>
            <w:tcMar>
              <w:top w:w="100" w:type="dxa"/>
              <w:start w:w="120" w:type="dxa"/>
              <w:bottom w:w="100" w:type="dxa"/>
              <w:end w:w="120" w:type="dxa"/>
            </w:tcMar>
          </w:tcPr>
          <w:p>
            <w:pPr>
              <w:spacing w:after="40"/>
            </w:pPr>
            <w:r>
              <w:rPr>
                <w:sz w:val="17"/>
              </w:rPr>
              <w:t>Separate phone and optionally email.</w:t>
            </w:r>
          </w:p>
        </w:tc>
      </w:tr>
      <w:tr>
        <w:tc>
          <w:tcPr>
            <w:tcW w:type="dxa" w:w="5083"/>
            <w:vAlign w:val="center"/>
            <w:tcMar>
              <w:top w:w="100" w:type="dxa"/>
              <w:start w:w="120" w:type="dxa"/>
              <w:bottom w:w="100" w:type="dxa"/>
              <w:end w:w="120" w:type="dxa"/>
            </w:tcMar>
          </w:tcPr>
          <w:p>
            <w:pPr>
              <w:spacing w:after="40"/>
            </w:pPr>
            <w:r>
              <w:rPr>
                <w:sz w:val="17"/>
              </w:rPr>
              <w:t>International</w:t>
            </w:r>
          </w:p>
        </w:tc>
        <w:tc>
          <w:tcPr>
            <w:tcW w:type="dxa" w:w="5083"/>
            <w:vAlign w:val="center"/>
            <w:tcMar>
              <w:top w:w="100" w:type="dxa"/>
              <w:start w:w="120" w:type="dxa"/>
              <w:bottom w:w="100" w:type="dxa"/>
              <w:end w:w="120" w:type="dxa"/>
            </w:tcMar>
          </w:tcPr>
          <w:p>
            <w:pPr>
              <w:spacing w:after="40"/>
            </w:pPr>
            <w:r>
              <w:rPr>
                <w:sz w:val="17"/>
              </w:rPr>
              <w:t>Optional future country-specific contact or partner details managed in CMS.</w:t>
            </w:r>
          </w:p>
        </w:tc>
      </w:tr>
      <w:tr>
        <w:tc>
          <w:tcPr>
            <w:tcW w:type="dxa" w:w="5083"/>
            <w:vAlign w:val="center"/>
            <w:tcMar>
              <w:top w:w="100" w:type="dxa"/>
              <w:start w:w="120" w:type="dxa"/>
              <w:bottom w:w="100" w:type="dxa"/>
              <w:end w:w="120" w:type="dxa"/>
            </w:tcMar>
          </w:tcPr>
          <w:p>
            <w:pPr>
              <w:spacing w:after="40"/>
            </w:pPr>
            <w:r>
              <w:rPr>
                <w:sz w:val="17"/>
              </w:rPr>
              <w:t>Form</w:t>
            </w:r>
          </w:p>
        </w:tc>
        <w:tc>
          <w:tcPr>
            <w:tcW w:type="dxa" w:w="5083"/>
            <w:vAlign w:val="center"/>
            <w:tcMar>
              <w:top w:w="100" w:type="dxa"/>
              <w:start w:w="120" w:type="dxa"/>
              <w:bottom w:w="100" w:type="dxa"/>
              <w:end w:w="120" w:type="dxa"/>
            </w:tcMar>
          </w:tcPr>
          <w:p>
            <w:pPr>
              <w:spacing w:after="40"/>
            </w:pPr>
            <w:r>
              <w:rPr>
                <w:sz w:val="17"/>
              </w:rPr>
              <w:t>Not required for launch. Support an optional short callback form behind a feature flag: name, company, phone, and brief message.</w:t>
            </w:r>
          </w:p>
        </w:tc>
      </w:tr>
    </w:tbl>
    <w:p>
      <w:pPr>
        <w:pStyle w:val="Heading1"/>
        <w:keepNext/>
      </w:pPr>
      <w:r>
        <w:t>16. SEO, Measurement, Privacy, and Security</w:t>
      </w:r>
    </w:p>
    <w:p>
      <w:pPr>
        <w:pStyle w:val="ListBullet"/>
      </w:pPr>
      <w:r>
        <w:t>Localized metadata, canonical URLs, hreflang, sitemap, robots rules, and localized social cards.</w:t>
      </w:r>
    </w:p>
    <w:p>
      <w:pPr>
        <w:pStyle w:val="ListBullet"/>
      </w:pPr>
      <w:r>
        <w:t>Organization, WebSite, BreadcrumbList, Service, and CreativeWork or Event-related structured data where accurate.</w:t>
      </w:r>
    </w:p>
    <w:p>
      <w:pPr>
        <w:pStyle w:val="ListBullet"/>
      </w:pPr>
      <w:r>
        <w:t>Server-rendered project titles and descriptions; do not hide important content inside canvas.</w:t>
      </w:r>
    </w:p>
    <w:p>
      <w:pPr>
        <w:pStyle w:val="ListBullet"/>
      </w:pPr>
      <w:r>
        <w:t>Privacy-conscious analytics with consent configuration appropriate to deployment markets.</w:t>
      </w:r>
    </w:p>
    <w:p>
      <w:pPr>
        <w:pStyle w:val="ListBullet"/>
      </w:pPr>
      <w:r>
        <w:t>Track language selection, project views, filter usage, video engagement, CTA clicks, phone clicks, WhatsApp clicks, and contact completion.</w:t>
      </w:r>
    </w:p>
    <w:p>
      <w:pPr>
        <w:pStyle w:val="ListBullet"/>
      </w:pPr>
      <w:r>
        <w:t>No sensitive event data or client data should be sent to public analytics platforms.</w:t>
      </w:r>
    </w:p>
    <w:p>
      <w:pPr>
        <w:pStyle w:val="ListBullet"/>
      </w:pPr>
      <w:r>
        <w:t>Secure CMS roles, preview tokens, environment secrets, webhook verification, rate limits, dependency updates, and security headers.</w:t>
      </w:r>
    </w:p>
    <w:p>
      <w:pPr>
        <w:pStyle w:val="ListBullet"/>
      </w:pPr>
      <w:r>
        <w:t>Cookie banner should appear only where required by the chosen analytics and legal requirements; avoid unnecessary trackers.</w:t>
      </w:r>
    </w:p>
    <w:p>
      <w:pPr>
        <w:pStyle w:val="Heading1"/>
        <w:keepNext/>
      </w:pPr>
      <w:r>
        <w:t>17. Instructions for the Website / Code Generator</w:t>
      </w:r>
    </w:p>
    <w:p>
      <w:r>
        <w:t>The generator must treat this document as a product specification, not a request for a generic template. Build the content model, semantic pages, and performance foundation before decorative effects.</w:t>
      </w:r>
    </w:p>
    <w:p>
      <w:pPr>
        <w:pStyle w:val="Heading2"/>
        <w:keepNext/>
      </w:pPr>
      <w:r>
        <w:t>Phase 1 — Foundation</w:t>
      </w:r>
    </w:p>
    <w:p>
      <w:r>
        <w:t>Create Next.js application, strict TypeScript, locale routing, token system, Sanity project, schemas, preview, SEO foundations, header, footer, and accessible navigation.</w:t>
      </w:r>
    </w:p>
    <w:p>
      <w:pPr>
        <w:pStyle w:val="Heading2"/>
        <w:keepNext/>
      </w:pPr>
      <w:r>
        <w:t>Phase 2 — Editorial website</w:t>
      </w:r>
    </w:p>
    <w:p>
      <w:r>
        <w:t>Build Home, Projects, Project detail, Services, About, Contact, language switching, filters, responsive media, and CMS-driven modular sections without WebGL.</w:t>
      </w:r>
    </w:p>
    <w:p>
      <w:pPr>
        <w:pStyle w:val="Heading2"/>
        <w:keepNext/>
      </w:pPr>
      <w:r>
        <w:t>Phase 3 — Immersive layer</w:t>
      </w:r>
    </w:p>
    <w:p>
      <w:r>
        <w:t>Implement the persistent R3F canvas, spark, architectural construction, media surfaces, timeline state machine, and GSAP ScrollTrigger choreography.</w:t>
      </w:r>
    </w:p>
    <w:p>
      <w:pPr>
        <w:pStyle w:val="Heading2"/>
        <w:keepNext/>
      </w:pPr>
      <w:r>
        <w:t>Phase 4 — Adaptive performance</w:t>
      </w:r>
    </w:p>
    <w:p>
      <w:r>
        <w:t>Add lazy loading, quality tiers, low-power detection, reduced-motion version, mobile art direction, media optimization, and performance monitoring.</w:t>
      </w:r>
    </w:p>
    <w:p>
      <w:pPr>
        <w:pStyle w:val="Heading2"/>
        <w:keepNext/>
      </w:pPr>
      <w:r>
        <w:t>Phase 5 — Content and QA</w:t>
      </w:r>
    </w:p>
    <w:p>
      <w:r>
        <w:t>Load real Mandegar projects, refine copy, complete translations, validate all claims, test devices, run accessibility checks, and tune analytics.</w:t>
      </w:r>
    </w:p>
    <w:p>
      <w:pPr>
        <w:pStyle w:val="Heading2"/>
        <w:keepNext/>
      </w:pPr>
      <w:r>
        <w:t>Phase 6 — Launch</w:t>
      </w:r>
    </w:p>
    <w:p>
      <w:r>
        <w:t>Staging approval, redirects, production domains, security headers, monitoring, backups, CMS training, and editorial documentation.</w:t>
      </w:r>
    </w:p>
    <w:p>
      <w:pPr>
        <w:pStyle w:val="Heading2"/>
        <w:keepNext/>
      </w:pPr>
      <w:r>
        <w:t>17.1 Generator constraints</w:t>
      </w:r>
    </w:p>
    <w:p>
      <w:pPr>
        <w:pStyle w:val="ListBullet"/>
      </w:pPr>
      <w:r>
        <w:t>Do not invent project names, clients, metrics, awards, international work, or AI capabilities. Use clearly labeled placeholders.</w:t>
      </w:r>
    </w:p>
    <w:p>
      <w:pPr>
        <w:pStyle w:val="ListBullet"/>
      </w:pPr>
      <w:r>
        <w:t>Do not hard-code project categories, featured order, languages, contact numbers, or service order.</w:t>
      </w:r>
    </w:p>
    <w:p>
      <w:pPr>
        <w:pStyle w:val="ListBullet"/>
      </w:pPr>
      <w:r>
        <w:t>Do not make WebGL necessary to understand or navigate the website.</w:t>
      </w:r>
    </w:p>
    <w:p>
      <w:pPr>
        <w:pStyle w:val="ListBullet"/>
      </w:pPr>
      <w:r>
        <w:t>Do not use Spline embeds or opaque external builders for the core experience.</w:t>
      </w:r>
    </w:p>
    <w:p>
      <w:pPr>
        <w:pStyle w:val="ListBullet"/>
      </w:pPr>
      <w:r>
        <w:t>Do not add large UI libraries unless a documented need exists.</w:t>
      </w:r>
    </w:p>
    <w:p>
      <w:pPr>
        <w:pStyle w:val="ListBullet"/>
      </w:pPr>
      <w:r>
        <w:t>Do not use random stock photos in the final experience; placeholders must be visibly marked.</w:t>
      </w:r>
    </w:p>
    <w:p>
      <w:pPr>
        <w:pStyle w:val="ListBullet"/>
      </w:pPr>
      <w:r>
        <w:t>Do not use dark-mode-first styling.</w:t>
      </w:r>
    </w:p>
    <w:p>
      <w:pPr>
        <w:pStyle w:val="ListBullet"/>
      </w:pPr>
      <w:r>
        <w:t>Do not autoplay sound.</w:t>
      </w:r>
    </w:p>
    <w:p>
      <w:pPr>
        <w:pStyle w:val="ListBullet"/>
      </w:pPr>
      <w:r>
        <w:t>Do not create a conventional grid-only agency homepage and call it immersive.</w:t>
      </w:r>
    </w:p>
    <w:p>
      <w:pPr>
        <w:pStyle w:val="Heading1"/>
        <w:keepNext/>
      </w:pPr>
      <w:r>
        <w:t>18. Acceptance Criteria</w:t>
      </w:r>
    </w:p>
    <w:tbl>
      <w:tblPr>
        <w:tblStyle w:val="TableGrid"/>
        <w:tblW w:type="auto" w:w="0"/>
        <w:jc w:val="center"/>
        <w:tblLook w:firstColumn="1" w:firstRow="1" w:lastColumn="0" w:lastRow="0" w:noHBand="0" w:noVBand="1" w:val="04A0"/>
      </w:tblPr>
      <w:tblGrid>
        <w:gridCol w:w="5083"/>
        <w:gridCol w:w="5083"/>
      </w:tblGrid>
      <w:tr>
        <w:tc>
          <w:tcPr>
            <w:tcW w:type="dxa" w:w="5083"/>
            <w:shd w:fill="EAF1FF"/>
            <w:vAlign w:val="center"/>
            <w:tcMar>
              <w:top w:w="100" w:type="dxa"/>
              <w:start w:w="120" w:type="dxa"/>
              <w:bottom w:w="100" w:type="dxa"/>
              <w:end w:w="120" w:type="dxa"/>
            </w:tcMar>
          </w:tcPr>
          <w:p>
            <w:pPr>
              <w:spacing w:after="40"/>
            </w:pPr>
            <w:r>
              <w:rPr>
                <w:sz w:val="17"/>
              </w:rPr>
              <w:t>Area</w:t>
            </w:r>
          </w:p>
        </w:tc>
        <w:tc>
          <w:tcPr>
            <w:tcW w:type="dxa" w:w="5083"/>
            <w:shd w:fill="EAF1FF"/>
            <w:vAlign w:val="center"/>
            <w:tcMar>
              <w:top w:w="100" w:type="dxa"/>
              <w:start w:w="120" w:type="dxa"/>
              <w:bottom w:w="100" w:type="dxa"/>
              <w:end w:w="120" w:type="dxa"/>
            </w:tcMar>
          </w:tcPr>
          <w:p>
            <w:pPr>
              <w:spacing w:after="40"/>
            </w:pPr>
            <w:r>
              <w:rPr>
                <w:sz w:val="17"/>
              </w:rPr>
              <w:t>Pass condition</w:t>
            </w:r>
          </w:p>
        </w:tc>
      </w:tr>
      <w:tr>
        <w:tc>
          <w:tcPr>
            <w:tcW w:type="dxa" w:w="5083"/>
            <w:vAlign w:val="center"/>
            <w:tcMar>
              <w:top w:w="100" w:type="dxa"/>
              <w:start w:w="120" w:type="dxa"/>
              <w:bottom w:w="100" w:type="dxa"/>
              <w:end w:w="120" w:type="dxa"/>
            </w:tcMar>
          </w:tcPr>
          <w:p>
            <w:pPr>
              <w:spacing w:after="40"/>
            </w:pPr>
            <w:r>
              <w:rPr>
                <w:sz w:val="17"/>
              </w:rPr>
              <w:t>Content</w:t>
            </w:r>
          </w:p>
        </w:tc>
        <w:tc>
          <w:tcPr>
            <w:tcW w:type="dxa" w:w="5083"/>
            <w:vAlign w:val="center"/>
            <w:tcMar>
              <w:top w:w="100" w:type="dxa"/>
              <w:start w:w="120" w:type="dxa"/>
              <w:bottom w:w="100" w:type="dxa"/>
              <w:end w:w="120" w:type="dxa"/>
            </w:tcMar>
          </w:tcPr>
          <w:p>
            <w:pPr>
              <w:spacing w:after="40"/>
            </w:pPr>
            <w:r>
              <w:rPr>
                <w:sz w:val="17"/>
              </w:rPr>
              <w:t>All homepage sections, projects, categories, services, contacts, claims, client logos, and language content are CMS editable.</w:t>
            </w:r>
          </w:p>
        </w:tc>
      </w:tr>
      <w:tr>
        <w:tc>
          <w:tcPr>
            <w:tcW w:type="dxa" w:w="5083"/>
            <w:vAlign w:val="center"/>
            <w:tcMar>
              <w:top w:w="100" w:type="dxa"/>
              <w:start w:w="120" w:type="dxa"/>
              <w:bottom w:w="100" w:type="dxa"/>
              <w:end w:w="120" w:type="dxa"/>
            </w:tcMar>
          </w:tcPr>
          <w:p>
            <w:pPr>
              <w:spacing w:after="40"/>
            </w:pPr>
            <w:r>
              <w:rPr>
                <w:sz w:val="17"/>
              </w:rPr>
              <w:t>Languages</w:t>
            </w:r>
          </w:p>
        </w:tc>
        <w:tc>
          <w:tcPr>
            <w:tcW w:type="dxa" w:w="5083"/>
            <w:vAlign w:val="center"/>
            <w:tcMar>
              <w:top w:w="100" w:type="dxa"/>
              <w:start w:w="120" w:type="dxa"/>
              <w:bottom w:w="100" w:type="dxa"/>
              <w:end w:w="120" w:type="dxa"/>
            </w:tcMar>
          </w:tcPr>
          <w:p>
            <w:pPr>
              <w:spacing w:after="40"/>
            </w:pPr>
            <w:r>
              <w:rPr>
                <w:sz w:val="17"/>
              </w:rPr>
              <w:t>Persian is default; Persian and Arabic render correctly in RTL; English renders LTR; localized URLs, metadata, and navigation work.</w:t>
            </w:r>
          </w:p>
        </w:tc>
      </w:tr>
      <w:tr>
        <w:tc>
          <w:tcPr>
            <w:tcW w:type="dxa" w:w="5083"/>
            <w:vAlign w:val="center"/>
            <w:tcMar>
              <w:top w:w="100" w:type="dxa"/>
              <w:start w:w="120" w:type="dxa"/>
              <w:bottom w:w="100" w:type="dxa"/>
              <w:end w:w="120" w:type="dxa"/>
            </w:tcMar>
          </w:tcPr>
          <w:p>
            <w:pPr>
              <w:spacing w:after="40"/>
            </w:pPr>
            <w:r>
              <w:rPr>
                <w:sz w:val="17"/>
              </w:rPr>
              <w:t>Experience</w:t>
            </w:r>
          </w:p>
        </w:tc>
        <w:tc>
          <w:tcPr>
            <w:tcW w:type="dxa" w:w="5083"/>
            <w:vAlign w:val="center"/>
            <w:tcMar>
              <w:top w:w="100" w:type="dxa"/>
              <w:start w:w="120" w:type="dxa"/>
              <w:bottom w:w="100" w:type="dxa"/>
              <w:end w:w="120" w:type="dxa"/>
            </w:tcMar>
          </w:tcPr>
          <w:p>
            <w:pPr>
              <w:spacing w:after="40"/>
            </w:pPr>
            <w:r>
              <w:rPr>
                <w:sz w:val="17"/>
              </w:rPr>
              <w:t>The spark-to-event narrative is clear. Real project proof appears early. The main scroll experience is coherent rather than a collection of unrelated effects.</w:t>
            </w:r>
          </w:p>
        </w:tc>
      </w:tr>
      <w:tr>
        <w:tc>
          <w:tcPr>
            <w:tcW w:type="dxa" w:w="5083"/>
            <w:vAlign w:val="center"/>
            <w:tcMar>
              <w:top w:w="100" w:type="dxa"/>
              <w:start w:w="120" w:type="dxa"/>
              <w:bottom w:w="100" w:type="dxa"/>
              <w:end w:w="120" w:type="dxa"/>
            </w:tcMar>
          </w:tcPr>
          <w:p>
            <w:pPr>
              <w:spacing w:after="40"/>
            </w:pPr>
            <w:r>
              <w:rPr>
                <w:sz w:val="17"/>
              </w:rPr>
              <w:t>Performance</w:t>
            </w:r>
          </w:p>
        </w:tc>
        <w:tc>
          <w:tcPr>
            <w:tcW w:type="dxa" w:w="5083"/>
            <w:vAlign w:val="center"/>
            <w:tcMar>
              <w:top w:w="100" w:type="dxa"/>
              <w:start w:w="120" w:type="dxa"/>
              <w:bottom w:w="100" w:type="dxa"/>
              <w:end w:w="120" w:type="dxa"/>
            </w:tcMar>
          </w:tcPr>
          <w:p>
            <w:pPr>
              <w:spacing w:after="40"/>
            </w:pPr>
            <w:r>
              <w:rPr>
                <w:sz w:val="17"/>
              </w:rPr>
              <w:t>The initial page is useful before WebGL loads. Heavy assets are deferred. The experience adapts to mobile, lower-power devices, reduced motion, and failed WebGL.</w:t>
            </w:r>
          </w:p>
        </w:tc>
      </w:tr>
      <w:tr>
        <w:tc>
          <w:tcPr>
            <w:tcW w:type="dxa" w:w="5083"/>
            <w:vAlign w:val="center"/>
            <w:tcMar>
              <w:top w:w="100" w:type="dxa"/>
              <w:start w:w="120" w:type="dxa"/>
              <w:bottom w:w="100" w:type="dxa"/>
              <w:end w:w="120" w:type="dxa"/>
            </w:tcMar>
          </w:tcPr>
          <w:p>
            <w:pPr>
              <w:spacing w:after="40"/>
            </w:pPr>
            <w:r>
              <w:rPr>
                <w:sz w:val="17"/>
              </w:rPr>
              <w:t>Accessibility</w:t>
            </w:r>
          </w:p>
        </w:tc>
        <w:tc>
          <w:tcPr>
            <w:tcW w:type="dxa" w:w="5083"/>
            <w:vAlign w:val="center"/>
            <w:tcMar>
              <w:top w:w="100" w:type="dxa"/>
              <w:start w:w="120" w:type="dxa"/>
              <w:bottom w:w="100" w:type="dxa"/>
              <w:end w:w="120" w:type="dxa"/>
            </w:tcMar>
          </w:tcPr>
          <w:p>
            <w:pPr>
              <w:spacing w:after="40"/>
            </w:pPr>
            <w:r>
              <w:rPr>
                <w:sz w:val="17"/>
              </w:rPr>
              <w:t>Primary navigation, project filters, case studies, language switcher, and contact actions are keyboard and screen-reader usable.</w:t>
            </w:r>
          </w:p>
        </w:tc>
      </w:tr>
      <w:tr>
        <w:tc>
          <w:tcPr>
            <w:tcW w:type="dxa" w:w="5083"/>
            <w:vAlign w:val="center"/>
            <w:tcMar>
              <w:top w:w="100" w:type="dxa"/>
              <w:start w:w="120" w:type="dxa"/>
              <w:bottom w:w="100" w:type="dxa"/>
              <w:end w:w="120" w:type="dxa"/>
            </w:tcMar>
          </w:tcPr>
          <w:p>
            <w:pPr>
              <w:spacing w:after="40"/>
            </w:pPr>
            <w:r>
              <w:rPr>
                <w:sz w:val="17"/>
              </w:rPr>
              <w:t>SEO</w:t>
            </w:r>
          </w:p>
        </w:tc>
        <w:tc>
          <w:tcPr>
            <w:tcW w:type="dxa" w:w="5083"/>
            <w:vAlign w:val="center"/>
            <w:tcMar>
              <w:top w:w="100" w:type="dxa"/>
              <w:start w:w="120" w:type="dxa"/>
              <w:bottom w:w="100" w:type="dxa"/>
              <w:end w:w="120" w:type="dxa"/>
            </w:tcMar>
          </w:tcPr>
          <w:p>
            <w:pPr>
              <w:spacing w:after="40"/>
            </w:pPr>
            <w:r>
              <w:rPr>
                <w:sz w:val="17"/>
              </w:rPr>
              <w:t>Project and service content is server-rendered and indexable. Sitemap, canonicals, hreflang, structured data, and social metadata are valid.</w:t>
            </w:r>
          </w:p>
        </w:tc>
      </w:tr>
      <w:tr>
        <w:tc>
          <w:tcPr>
            <w:tcW w:type="dxa" w:w="5083"/>
            <w:vAlign w:val="center"/>
            <w:tcMar>
              <w:top w:w="100" w:type="dxa"/>
              <w:start w:w="120" w:type="dxa"/>
              <w:bottom w:w="100" w:type="dxa"/>
              <w:end w:w="120" w:type="dxa"/>
            </w:tcMar>
          </w:tcPr>
          <w:p>
            <w:pPr>
              <w:spacing w:after="40"/>
            </w:pPr>
            <w:r>
              <w:rPr>
                <w:sz w:val="17"/>
              </w:rPr>
              <w:t>Conversion</w:t>
            </w:r>
          </w:p>
        </w:tc>
        <w:tc>
          <w:tcPr>
            <w:tcW w:type="dxa" w:w="5083"/>
            <w:vAlign w:val="center"/>
            <w:tcMar>
              <w:top w:w="100" w:type="dxa"/>
              <w:start w:w="120" w:type="dxa"/>
              <w:bottom w:w="100" w:type="dxa"/>
              <w:end w:w="120" w:type="dxa"/>
            </w:tcMar>
          </w:tcPr>
          <w:p>
            <w:pPr>
              <w:spacing w:after="40"/>
            </w:pPr>
            <w:r>
              <w:rPr>
                <w:sz w:val="17"/>
              </w:rPr>
              <w:t>Sales phone and WhatsApp are prominent at the final CTA and available from the persistent Start a Project action. General inquiries are separate.</w:t>
            </w:r>
          </w:p>
        </w:tc>
      </w:tr>
      <w:tr>
        <w:tc>
          <w:tcPr>
            <w:tcW w:type="dxa" w:w="5083"/>
            <w:vAlign w:val="center"/>
            <w:tcMar>
              <w:top w:w="100" w:type="dxa"/>
              <w:start w:w="120" w:type="dxa"/>
              <w:bottom w:w="100" w:type="dxa"/>
              <w:end w:w="120" w:type="dxa"/>
            </w:tcMar>
          </w:tcPr>
          <w:p>
            <w:pPr>
              <w:spacing w:after="40"/>
            </w:pPr>
            <w:r>
              <w:rPr>
                <w:sz w:val="17"/>
              </w:rPr>
              <w:t>Truthfulness</w:t>
            </w:r>
          </w:p>
        </w:tc>
        <w:tc>
          <w:tcPr>
            <w:tcW w:type="dxa" w:w="5083"/>
            <w:vAlign w:val="center"/>
            <w:tcMar>
              <w:top w:w="100" w:type="dxa"/>
              <w:start w:w="120" w:type="dxa"/>
              <w:bottom w:w="100" w:type="dxa"/>
              <w:end w:w="120" w:type="dxa"/>
            </w:tcMar>
          </w:tcPr>
          <w:p>
            <w:pPr>
              <w:spacing w:after="40"/>
            </w:pPr>
            <w:r>
              <w:rPr>
                <w:sz w:val="17"/>
              </w:rPr>
              <w:t>No unsupported international, AI, client, metric, or award claims are published.</w:t>
            </w:r>
          </w:p>
        </w:tc>
      </w:tr>
      <w:tr>
        <w:tc>
          <w:tcPr>
            <w:tcW w:type="dxa" w:w="5083"/>
            <w:vAlign w:val="center"/>
            <w:tcMar>
              <w:top w:w="100" w:type="dxa"/>
              <w:start w:w="120" w:type="dxa"/>
              <w:bottom w:w="100" w:type="dxa"/>
              <w:end w:w="120" w:type="dxa"/>
            </w:tcMar>
          </w:tcPr>
          <w:p>
            <w:pPr>
              <w:spacing w:after="40"/>
            </w:pPr>
            <w:r>
              <w:rPr>
                <w:sz w:val="17"/>
              </w:rPr>
              <w:t>Maintainability</w:t>
            </w:r>
          </w:p>
        </w:tc>
        <w:tc>
          <w:tcPr>
            <w:tcW w:type="dxa" w:w="5083"/>
            <w:vAlign w:val="center"/>
            <w:tcMar>
              <w:top w:w="100" w:type="dxa"/>
              <w:start w:w="120" w:type="dxa"/>
              <w:bottom w:w="100" w:type="dxa"/>
              <w:end w:w="120" w:type="dxa"/>
            </w:tcMar>
          </w:tcPr>
          <w:p>
            <w:pPr>
              <w:spacing w:after="40"/>
            </w:pPr>
            <w:r>
              <w:rPr>
                <w:sz w:val="17"/>
              </w:rPr>
              <w:t>The animation system, CMS queries, media pipeline, and design tokens are documented. New projects do not require code changes.</w:t>
            </w:r>
          </w:p>
        </w:tc>
      </w:tr>
      <w:tr>
        <w:tc>
          <w:tcPr>
            <w:tcW w:type="dxa" w:w="5083"/>
            <w:vAlign w:val="center"/>
            <w:tcMar>
              <w:top w:w="100" w:type="dxa"/>
              <w:start w:w="120" w:type="dxa"/>
              <w:bottom w:w="100" w:type="dxa"/>
              <w:end w:w="120" w:type="dxa"/>
            </w:tcMar>
          </w:tcPr>
          <w:p>
            <w:pPr>
              <w:spacing w:after="40"/>
            </w:pPr>
            <w:r>
              <w:rPr>
                <w:sz w:val="17"/>
              </w:rPr>
              <w:t>Quality</w:t>
            </w:r>
          </w:p>
        </w:tc>
        <w:tc>
          <w:tcPr>
            <w:tcW w:type="dxa" w:w="5083"/>
            <w:vAlign w:val="center"/>
            <w:tcMar>
              <w:top w:w="100" w:type="dxa"/>
              <w:start w:w="120" w:type="dxa"/>
              <w:bottom w:w="100" w:type="dxa"/>
              <w:end w:w="120" w:type="dxa"/>
            </w:tcMar>
          </w:tcPr>
          <w:p>
            <w:pPr>
              <w:spacing w:after="40"/>
            </w:pPr>
            <w:r>
              <w:rPr>
                <w:sz w:val="17"/>
              </w:rPr>
              <w:t>No layout shift, clipped RTL text, scroll traps, broken media, console errors, or animation leaks on supported routes.</w:t>
            </w:r>
          </w:p>
        </w:tc>
      </w:tr>
    </w:tbl>
    <w:p>
      <w:pPr>
        <w:pStyle w:val="Heading1"/>
        <w:keepNext/>
      </w:pPr>
      <w:r>
        <w:t>19. Content Required from Mandegar</w:t>
      </w:r>
    </w:p>
    <w:p>
      <w:pPr>
        <w:pStyle w:val="ListBullet"/>
      </w:pPr>
      <w:r>
        <w:t>Logo and final brand assets when available.</w:t>
      </w:r>
    </w:p>
    <w:p>
      <w:pPr>
        <w:pStyle w:val="ListBullet"/>
      </w:pPr>
      <w:r>
        <w:t>Final Persian headline and supporting copy after refinement.</w:t>
      </w:r>
    </w:p>
    <w:p>
      <w:pPr>
        <w:pStyle w:val="ListBullet"/>
      </w:pPr>
      <w:r>
        <w:t>Project inventory with client approval status.</w:t>
      </w:r>
    </w:p>
    <w:p>
      <w:pPr>
        <w:pStyle w:val="ListBullet"/>
      </w:pPr>
      <w:r>
        <w:t>High-resolution images, optimized video masters, captions, credits, and usage rights.</w:t>
      </w:r>
    </w:p>
    <w:p>
      <w:pPr>
        <w:pStyle w:val="ListBullet"/>
      </w:pPr>
      <w:r>
        <w:t>Project categories and services mapping.</w:t>
      </w:r>
    </w:p>
    <w:p>
      <w:pPr>
        <w:pStyle w:val="ListBullet"/>
      </w:pPr>
      <w:r>
        <w:t>Verified outcomes and metrics with source notes.</w:t>
      </w:r>
    </w:p>
    <w:p>
      <w:pPr>
        <w:pStyle w:val="ListBullet"/>
      </w:pPr>
      <w:r>
        <w:t>Client logos and testimonials with permission.</w:t>
      </w:r>
    </w:p>
    <w:p>
      <w:pPr>
        <w:pStyle w:val="ListBullet"/>
      </w:pPr>
      <w:r>
        <w:t>Sales and general contact numbers, WhatsApp destinations, address, and social profiles.</w:t>
      </w:r>
    </w:p>
    <w:p>
      <w:pPr>
        <w:pStyle w:val="ListBullet"/>
      </w:pPr>
      <w:r>
        <w:t>Persian, English, and Arabic translations or an agreed translation workflow.</w:t>
      </w:r>
    </w:p>
    <w:p>
      <w:pPr>
        <w:pStyle w:val="ListBullet"/>
      </w:pPr>
      <w:r>
        <w:t>Legal and privacy content appropriate to the final analytics and markets.</w:t>
      </w:r>
    </w:p>
    <w:p>
      <w:pPr>
        <w:pStyle w:val="Heading1"/>
        <w:keepNext/>
      </w:pPr>
      <w:r>
        <w:t>20. Open Placeholders — Not Blockers</w:t>
      </w:r>
    </w:p>
    <w:p>
      <w:r>
        <w:t>The build can start before these are finalized: logo, final key color, final typefaces, exact project ordering, final phone numbers, full Arabic translation, final AI service status, and selected hero footage. They must be represented as configuration or CMS content, not embedded assumptions.</w:t>
      </w:r>
    </w:p>
    <w:p>
      <w:pPr>
        <w:pStyle w:val="Heading1"/>
        <w:keepNext/>
      </w:pPr>
      <w:r>
        <w:t>21. Final Product Statement</w:t>
      </w:r>
    </w:p>
    <w:p>
      <w:pPr>
        <w:pStyle w:val="Callout"/>
      </w:pPr>
      <w:r>
        <w:t>Mandegar’s website should begin with an idea, build an experience in front of the visitor, prove the promise with real projects, show the complete production system, introduce the future of AI-assisted event intelligence, and end with a direct human conversation.</w:t>
      </w:r>
    </w:p>
    <w:p>
      <w:r>
        <w:t>The intended emotional sequence is: curiosity → imagination → proof → confidence → ambition → contact.</w:t>
      </w:r>
    </w:p>
    <w:p>
      <w:pPr>
        <w:pStyle w:val="Heading1"/>
        <w:keepNext/>
      </w:pPr>
      <w:r>
        <w:t>22. Technical Reference Notes</w:t>
      </w:r>
    </w:p>
    <w:tbl>
      <w:tblPr>
        <w:tblStyle w:val="TableGrid"/>
        <w:tblW w:type="auto" w:w="0"/>
        <w:jc w:val="center"/>
        <w:tblLook w:firstColumn="1" w:firstRow="1" w:lastColumn="0" w:lastRow="0" w:noHBand="0" w:noVBand="1" w:val="04A0"/>
      </w:tblPr>
      <w:tblGrid>
        <w:gridCol w:w="5083"/>
        <w:gridCol w:w="5083"/>
      </w:tblGrid>
      <w:tr>
        <w:tc>
          <w:tcPr>
            <w:tcW w:type="dxa" w:w="5083"/>
            <w:shd w:fill="EAF1FF"/>
            <w:vAlign w:val="center"/>
            <w:tcMar>
              <w:top w:w="100" w:type="dxa"/>
              <w:start w:w="120" w:type="dxa"/>
              <w:bottom w:w="100" w:type="dxa"/>
              <w:end w:w="120" w:type="dxa"/>
            </w:tcMar>
          </w:tcPr>
          <w:p>
            <w:pPr>
              <w:spacing w:after="40"/>
            </w:pPr>
            <w:r>
              <w:rPr>
                <w:sz w:val="17"/>
              </w:rPr>
              <w:t>Source</w:t>
            </w:r>
          </w:p>
        </w:tc>
        <w:tc>
          <w:tcPr>
            <w:tcW w:type="dxa" w:w="5083"/>
            <w:shd w:fill="EAF1FF"/>
            <w:vAlign w:val="center"/>
            <w:tcMar>
              <w:top w:w="100" w:type="dxa"/>
              <w:start w:w="120" w:type="dxa"/>
              <w:bottom w:w="100" w:type="dxa"/>
              <w:end w:w="120" w:type="dxa"/>
            </w:tcMar>
          </w:tcPr>
          <w:p>
            <w:pPr>
              <w:spacing w:after="40"/>
            </w:pPr>
            <w:r>
              <w:rPr>
                <w:sz w:val="17"/>
              </w:rPr>
              <w:t>Relevance</w:t>
            </w:r>
          </w:p>
        </w:tc>
      </w:tr>
      <w:tr>
        <w:tc>
          <w:tcPr>
            <w:tcW w:type="dxa" w:w="5083"/>
            <w:vAlign w:val="center"/>
            <w:tcMar>
              <w:top w:w="100" w:type="dxa"/>
              <w:start w:w="120" w:type="dxa"/>
              <w:bottom w:w="100" w:type="dxa"/>
              <w:end w:w="120" w:type="dxa"/>
            </w:tcMar>
          </w:tcPr>
          <w:p>
            <w:pPr>
              <w:spacing w:after="40"/>
            </w:pPr>
            <w:r>
              <w:rPr>
                <w:sz w:val="17"/>
              </w:rPr>
              <w:t>Next.js App Router documentation</w:t>
            </w:r>
          </w:p>
        </w:tc>
        <w:tc>
          <w:tcPr>
            <w:tcW w:type="dxa" w:w="5083"/>
            <w:vAlign w:val="center"/>
            <w:tcMar>
              <w:top w:w="100" w:type="dxa"/>
              <w:start w:w="120" w:type="dxa"/>
              <w:bottom w:w="100" w:type="dxa"/>
              <w:end w:w="120" w:type="dxa"/>
            </w:tcMar>
          </w:tcPr>
          <w:p>
            <w:pPr>
              <w:spacing w:after="40"/>
            </w:pPr>
            <w:r>
              <w:rPr>
                <w:sz w:val="17"/>
              </w:rPr>
              <w:t>The current documentation identifies Next.js 16.2.9 and describes App Router support for Server Components, Suspense, and Server Functions.</w:t>
            </w:r>
          </w:p>
        </w:tc>
      </w:tr>
      <w:tr>
        <w:tc>
          <w:tcPr>
            <w:tcW w:type="dxa" w:w="5083"/>
            <w:vAlign w:val="center"/>
            <w:tcMar>
              <w:top w:w="100" w:type="dxa"/>
              <w:start w:w="120" w:type="dxa"/>
              <w:bottom w:w="100" w:type="dxa"/>
              <w:end w:w="120" w:type="dxa"/>
            </w:tcMar>
          </w:tcPr>
          <w:p>
            <w:pPr>
              <w:spacing w:after="40"/>
            </w:pPr>
            <w:r>
              <w:rPr>
                <w:sz w:val="17"/>
              </w:rPr>
              <w:t>React versions</w:t>
            </w:r>
          </w:p>
        </w:tc>
        <w:tc>
          <w:tcPr>
            <w:tcW w:type="dxa" w:w="5083"/>
            <w:vAlign w:val="center"/>
            <w:tcMar>
              <w:top w:w="100" w:type="dxa"/>
              <w:start w:w="120" w:type="dxa"/>
              <w:bottom w:w="100" w:type="dxa"/>
              <w:end w:w="120" w:type="dxa"/>
            </w:tcMar>
          </w:tcPr>
          <w:p>
            <w:pPr>
              <w:spacing w:after="40"/>
            </w:pPr>
            <w:r>
              <w:rPr>
                <w:sz w:val="17"/>
              </w:rPr>
              <w:t>React documentation lists React 19.2 as the current documented major/minor line.</w:t>
            </w:r>
          </w:p>
        </w:tc>
      </w:tr>
      <w:tr>
        <w:tc>
          <w:tcPr>
            <w:tcW w:type="dxa" w:w="5083"/>
            <w:vAlign w:val="center"/>
            <w:tcMar>
              <w:top w:w="100" w:type="dxa"/>
              <w:start w:w="120" w:type="dxa"/>
              <w:bottom w:w="100" w:type="dxa"/>
              <w:end w:w="120" w:type="dxa"/>
            </w:tcMar>
          </w:tcPr>
          <w:p>
            <w:pPr>
              <w:spacing w:after="40"/>
            </w:pPr>
            <w:r>
              <w:rPr>
                <w:sz w:val="17"/>
              </w:rPr>
              <w:t>GSAP ScrollTrigger</w:t>
            </w:r>
          </w:p>
        </w:tc>
        <w:tc>
          <w:tcPr>
            <w:tcW w:type="dxa" w:w="5083"/>
            <w:vAlign w:val="center"/>
            <w:tcMar>
              <w:top w:w="100" w:type="dxa"/>
              <w:start w:w="120" w:type="dxa"/>
              <w:bottom w:w="100" w:type="dxa"/>
              <w:end w:w="120" w:type="dxa"/>
            </w:tcMar>
          </w:tcPr>
          <w:p>
            <w:pPr>
              <w:spacing w:after="40"/>
            </w:pPr>
            <w:r>
              <w:rPr>
                <w:sz w:val="17"/>
              </w:rPr>
              <w:t>Official GSAP documentation supports scroll-linked timelines, scrubbing, pinning, snapping, and trigger-based animation.</w:t>
            </w:r>
          </w:p>
        </w:tc>
      </w:tr>
      <w:tr>
        <w:tc>
          <w:tcPr>
            <w:tcW w:type="dxa" w:w="5083"/>
            <w:vAlign w:val="center"/>
            <w:tcMar>
              <w:top w:w="100" w:type="dxa"/>
              <w:start w:w="120" w:type="dxa"/>
              <w:bottom w:w="100" w:type="dxa"/>
              <w:end w:w="120" w:type="dxa"/>
            </w:tcMar>
          </w:tcPr>
          <w:p>
            <w:pPr>
              <w:spacing w:after="40"/>
            </w:pPr>
            <w:r>
              <w:rPr>
                <w:sz w:val="17"/>
              </w:rPr>
              <w:t>React Three Fiber performance guidance</w:t>
            </w:r>
          </w:p>
        </w:tc>
        <w:tc>
          <w:tcPr>
            <w:tcW w:type="dxa" w:w="5083"/>
            <w:vAlign w:val="center"/>
            <w:tcMar>
              <w:top w:w="100" w:type="dxa"/>
              <w:start w:w="120" w:type="dxa"/>
              <w:bottom w:w="100" w:type="dxa"/>
              <w:end w:w="120" w:type="dxa"/>
            </w:tcMar>
          </w:tcPr>
          <w:p>
            <w:pPr>
              <w:spacing w:after="40"/>
            </w:pPr>
            <w:r>
              <w:rPr>
                <w:sz w:val="17"/>
              </w:rPr>
              <w:t>Official R3F guidance recommends on-demand rendering and careful control of expensive WebGL work; its v9 line supports React 19.</w:t>
            </w:r>
          </w:p>
        </w:tc>
      </w:tr>
      <w:tr>
        <w:tc>
          <w:tcPr>
            <w:tcW w:type="dxa" w:w="5083"/>
            <w:vAlign w:val="center"/>
            <w:tcMar>
              <w:top w:w="100" w:type="dxa"/>
              <w:start w:w="120" w:type="dxa"/>
              <w:bottom w:w="100" w:type="dxa"/>
              <w:end w:w="120" w:type="dxa"/>
            </w:tcMar>
          </w:tcPr>
          <w:p>
            <w:pPr>
              <w:spacing w:after="40"/>
            </w:pPr>
            <w:r>
              <w:rPr>
                <w:sz w:val="17"/>
              </w:rPr>
              <w:t>Sanity localization</w:t>
            </w:r>
          </w:p>
        </w:tc>
        <w:tc>
          <w:tcPr>
            <w:tcW w:type="dxa" w:w="5083"/>
            <w:vAlign w:val="center"/>
            <w:tcMar>
              <w:top w:w="100" w:type="dxa"/>
              <w:start w:w="120" w:type="dxa"/>
              <w:bottom w:w="100" w:type="dxa"/>
              <w:end w:w="120" w:type="dxa"/>
            </w:tcMar>
          </w:tcPr>
          <w:p>
            <w:pPr>
              <w:spacing w:after="40"/>
            </w:pPr>
            <w:r>
              <w:rPr>
                <w:sz w:val="17"/>
              </w:rPr>
              <w:t>Official Sanity guidance supports localized fields or documents and structured multilingual content.</w:t>
            </w:r>
          </w:p>
        </w:tc>
      </w:tr>
    </w:tbl>
    <w:p>
      <w:pPr>
        <w:pStyle w:val="Small"/>
      </w:pPr>
      <w:r>
        <w:t>Reference URLs:</w:t>
      </w:r>
    </w:p>
    <w:p>
      <w:pPr>
        <w:pStyle w:val="Small"/>
      </w:pPr>
      <w:r>
        <w:t>https://nextjs.org/docs/app</w:t>
      </w:r>
    </w:p>
    <w:p>
      <w:pPr>
        <w:pStyle w:val="Small"/>
      </w:pPr>
      <w:r>
        <w:t>https://react.dev/versions</w:t>
      </w:r>
    </w:p>
    <w:p>
      <w:pPr>
        <w:pStyle w:val="Small"/>
      </w:pPr>
      <w:r>
        <w:t>https://gsap.com/docs/v3/Plugins/ScrollTrigger/</w:t>
      </w:r>
    </w:p>
    <w:p>
      <w:pPr>
        <w:pStyle w:val="Small"/>
      </w:pPr>
      <w:r>
        <w:t>https://r3f.docs.pmnd.rs/advanced/scaling-performance</w:t>
      </w:r>
    </w:p>
    <w:p>
      <w:pPr>
        <w:pStyle w:val="Small"/>
      </w:pPr>
      <w:r>
        <w:t>https://r3f.docs.pmnd.rs/tutorials/v9-migration-guide</w:t>
      </w:r>
    </w:p>
    <w:p>
      <w:pPr>
        <w:pStyle w:val="Small"/>
      </w:pPr>
      <w:r>
        <w:t>https://www.sanity.io/docs/studio/localization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Confidential working specification  •  August 2026</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MANDEGAR  /  DIGITAL EXPERIENCE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1827"/>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1182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pPr>
    <w:rPr>
      <w:rFonts w:ascii="Aptos" w:hAnsi="Aptos"/>
      <w:color w:val="374151"/>
      <w:sz w:val="30"/>
    </w:rPr>
  </w:style>
  <w:style w:type="paragraph" w:customStyle="1" w:styleId="Small">
    <w:name w:val="Small"/>
    <w:rPr>
      <w:rFonts w:ascii="Aptos" w:hAnsi="Aptos"/>
      <w:color w:val="6B7280"/>
      <w:sz w:val="16"/>
    </w:rPr>
  </w:style>
  <w:style w:type="paragraph" w:customStyle="1" w:styleId="Callout">
    <w:name w:val="Callout"/>
    <w:rPr>
      <w:rFonts w:ascii="Aptos Display" w:hAnsi="Aptos Display"/>
      <w:b/>
      <w:color w:val="2563EB"/>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Mandegar Interactive Website Product and Implementation Brief</dc:title>
  <dc:subject>Complete specification for a Persian-first immersive event production website</dc:subject>
  <dc:creator>OpenAI</dc:creator>
  <cp:keywords>Mandegar, event production, exhibition, interactive website, Next.js, Sanity, React Three Fiber, Persian, Arabic</cp:keywords>
  <dc:description>generated by python-docx</dc:description>
  <cp:lastModifiedBy/>
  <cp:revision>1</cp:revision>
  <dcterms:created xsi:type="dcterms:W3CDTF">2013-12-23T23:15:00Z</dcterms:created>
  <dcterms:modified xsi:type="dcterms:W3CDTF">2013-12-23T23:15:00Z</dcterms:modified>
  <cp:category/>
</cp:coreProperties>
</file>