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B4E6"/>
          <w:spacing w:val="40"/>
          <w:sz w:val="22"/>
          <w:szCs w:val="22"/>
        </w:rPr>
        <w:t xml:space="preserve">ECHO 1 LABS</w:t>
      </w:r>
    </w:p>
    <w:p>
      <w:pPr>
        <w:spacing w:after="40"/>
      </w:pPr>
      <w:r>
        <w:rPr>
          <w:rFonts w:ascii="Calibri" w:cs="Calibri" w:eastAsia="Calibri" w:hAnsi="Calibri"/>
          <w:b/>
          <w:bCs/>
          <w:color w:val="042839"/>
          <w:sz w:val="44"/>
          <w:szCs w:val="44"/>
        </w:rPr>
        <w:t xml:space="preserve">Privacy Policy</w:t>
      </w:r>
    </w:p>
    <w:p>
      <w:pPr>
        <w:spacing w:after="60"/>
      </w:pPr>
      <w:r>
        <w:rPr>
          <w:rFonts w:ascii="Calibri" w:cs="Calibri" w:eastAsia="Calibri" w:hAnsi="Calibri"/>
          <w:color w:val="555555"/>
          <w:sz w:val="20"/>
          <w:szCs w:val="20"/>
        </w:rPr>
        <w:t xml:space="preserve">Version 2.0  ·  Effective July 29, 2026  ·  Mingma Inc (d/b/a Echo 1 Labs)  ·  TDPSA · TRAIGA · CCPA/CPRA · GDPR</w:t>
      </w:r>
    </w:p>
    <w:p>
      <w:pPr>
        <w:pBdr>
          <w:bottom w:val="single" w:color="00B4E6" w:sz="6"/>
        </w:pBdr>
        <w:spacing w:after="120" w:before="60"/>
      </w:pPr>
      <w:r>
        <w:rPr>
          <w:sz w:val="2"/>
          <w:szCs w:val="2"/>
        </w:rPr>
        <w:t xml:space="preserve"/>
      </w:r>
    </w:p>
    <w:p>
      <w:pPr>
        <w:pBdr>
          <w:left w:val="single" w:color="00B4E6" w:sz="18"/>
        </w:pBdr>
        <w:shd w:fill="EAF6FB" w:val="clear"/>
        <w:spacing w:after="120" w:before="80"/>
      </w:pPr>
      <w:r>
        <w:rPr>
          <w:rFonts w:ascii="Calibri" w:cs="Calibri" w:eastAsia="Calibri" w:hAnsi="Calibri"/>
          <w:i/>
          <w:iCs/>
          <w:color w:val="0B3A4A"/>
          <w:sz w:val="18"/>
          <w:szCs w:val="18"/>
        </w:rPr>
        <w:t xml:space="preserve">DRAFT v2 FOR ATTORNEY REVIEW. Confirm the registered entity name and state of formation, that the Section 8 security controls are implemented, the final sub-processor list and regions, and whether a GDPR Art. 27 in-region representative is required. Remove this notice before publishing.</w:t>
      </w:r>
    </w:p>
    <w:p>
      <w:pPr>
        <w:pStyle w:val="Heading1"/>
        <w:spacing w:after="130" w:before="300"/>
      </w:pPr>
      <w:r>
        <w:rPr>
          <w:rFonts w:ascii="Calibri" w:cs="Calibri" w:eastAsia="Calibri" w:hAnsi="Calibri"/>
          <w:b/>
          <w:bCs/>
          <w:color w:val="00B4E6"/>
          <w:sz w:val="28"/>
          <w:szCs w:val="28"/>
        </w:rPr>
        <w:t xml:space="preserve">01.  </w:t>
      </w:r>
      <w:r>
        <w:rPr>
          <w:rFonts w:ascii="Calibri" w:cs="Calibri" w:eastAsia="Calibri" w:hAnsi="Calibri"/>
          <w:b/>
          <w:bCs/>
          <w:color w:val="042839"/>
          <w:sz w:val="28"/>
          <w:szCs w:val="28"/>
        </w:rPr>
        <w:t xml:space="preserve">Introduction and Scope</w:t>
      </w:r>
    </w:p>
    <w:p>
      <w:pPr>
        <w:spacing w:after="120" w:line="276"/>
      </w:pPr>
      <w:r>
        <w:rPr>
          <w:rFonts w:ascii="Calibri" w:cs="Calibri" w:eastAsia="Calibri" w:hAnsi="Calibri"/>
          <w:color w:val="1a1a1a"/>
          <w:sz w:val="21"/>
          <w:szCs w:val="21"/>
        </w:rPr>
        <w:t xml:space="preserve">This Privacy Policy ("Policy") describes how Mingma Inc, doing business as Echo 1 Labs ("Echo 1 Labs," "we," "us," or "our"), collects, uses, discloses, retains, and protects information in connection with the Echo 1 Labs AI-driven business lifecycle management platform, including PRIME / GTM Engine, Ledger, Orbit, Bid Titan, all APIs, and related websites and services (collectively, the "Platform").</w:t>
      </w:r>
    </w:p>
    <w:p>
      <w:pPr>
        <w:spacing w:after="120" w:line="276"/>
      </w:pPr>
      <w:r>
        <w:rPr>
          <w:rFonts w:ascii="Calibri" w:cs="Calibri" w:eastAsia="Calibri" w:hAnsi="Calibri"/>
          <w:color w:val="1a1a1a"/>
          <w:sz w:val="21"/>
          <w:szCs w:val="21"/>
        </w:rPr>
        <w:t xml:space="preserve">This Policy applies to Customers (businesses and their Authorized Users), prospective customers and website visitors, and third parties whose personal data is included in Client Data submitted by a Customer. Echo 1 Labs acts as a data processor for Client Data and as a data controller for information it collects directly from Customers and website visitors.</w:t>
      </w:r>
    </w:p>
    <w:p>
      <w:pPr>
        <w:spacing w:after="120" w:line="276"/>
      </w:pPr>
      <w:r>
        <w:rPr>
          <w:rFonts w:ascii="Calibri" w:cs="Calibri" w:eastAsia="Calibri" w:hAnsi="Calibri"/>
          <w:b/>
          <w:bCs/>
          <w:color w:val="1a1a1a"/>
          <w:sz w:val="21"/>
          <w:szCs w:val="21"/>
        </w:rPr>
        <w:t xml:space="preserve">Requests about Client Data. </w:t>
      </w:r>
      <w:r>
        <w:rPr>
          <w:rFonts w:ascii="Calibri" w:cs="Calibri" w:eastAsia="Calibri" w:hAnsi="Calibri"/>
          <w:color w:val="1a1a1a"/>
          <w:sz w:val="21"/>
          <w:szCs w:val="21"/>
        </w:rPr>
        <w:t xml:space="preserve">Where an individual’s personal data is contained in Client Data that a Customer submitted, Echo 1 Labs is a processor acting on that Customer’s instructions. We will forward such rights requests to the relevant Customer (the controller), who is responsible for responding. Our processing of Client Data is also governed by our Data Processing Addendum ("DPA"), which is incorporated into the Terms of Service.</w:t>
      </w:r>
    </w:p>
    <w:p>
      <w:pPr>
        <w:spacing w:after="120" w:line="276"/>
      </w:pPr>
      <w:r>
        <w:rPr>
          <w:rFonts w:ascii="Calibri" w:cs="Calibri" w:eastAsia="Calibri" w:hAnsi="Calibri"/>
          <w:color w:val="1a1a1a"/>
          <w:sz w:val="21"/>
          <w:szCs w:val="21"/>
        </w:rPr>
        <w:t xml:space="preserve">This Policy does not apply to information governed by a separately executed Master Service Agreement, or to information collected by third-party services that Customers independently access.</w:t>
      </w:r>
    </w:p>
    <w:p>
      <w:pPr>
        <w:pStyle w:val="Heading1"/>
        <w:spacing w:after="130" w:before="300"/>
      </w:pPr>
      <w:r>
        <w:rPr>
          <w:rFonts w:ascii="Calibri" w:cs="Calibri" w:eastAsia="Calibri" w:hAnsi="Calibri"/>
          <w:b/>
          <w:bCs/>
          <w:color w:val="00B4E6"/>
          <w:sz w:val="28"/>
          <w:szCs w:val="28"/>
        </w:rPr>
        <w:t xml:space="preserve">02.  </w:t>
      </w:r>
      <w:r>
        <w:rPr>
          <w:rFonts w:ascii="Calibri" w:cs="Calibri" w:eastAsia="Calibri" w:hAnsi="Calibri"/>
          <w:b/>
          <w:bCs/>
          <w:color w:val="042839"/>
          <w:sz w:val="28"/>
          <w:szCs w:val="28"/>
        </w:rPr>
        <w:t xml:space="preserve">Information We Collect</w:t>
      </w:r>
    </w:p>
    <w:p>
      <w:pPr>
        <w:pStyle w:val="Heading2"/>
        <w:spacing w:after="70" w:before="180"/>
      </w:pPr>
      <w:r>
        <w:rPr>
          <w:rFonts w:ascii="Calibri" w:cs="Calibri" w:eastAsia="Calibri" w:hAnsi="Calibri"/>
          <w:b/>
          <w:bCs/>
          <w:color w:val="042839"/>
          <w:sz w:val="23"/>
          <w:szCs w:val="23"/>
        </w:rPr>
        <w:t xml:space="preserve">2.1  Information You Provide Directly</w:t>
      </w:r>
    </w:p>
    <w:p>
      <w:pPr>
        <w:pStyle w:val="ListParagraph"/>
        <w:numPr>
          <w:ilvl w:val="0"/>
          <w:numId w:val="2"/>
        </w:numPr>
        <w:spacing w:after="70" w:line="264"/>
      </w:pPr>
      <w:r>
        <w:rPr>
          <w:rFonts w:ascii="Calibri" w:cs="Calibri" w:eastAsia="Calibri" w:hAnsi="Calibri"/>
          <w:color w:val="1a1a1a"/>
          <w:sz w:val="21"/>
          <w:szCs w:val="21"/>
        </w:rPr>
        <w:t xml:space="preserve">Identity: name, job title, company name, and professional role.</w:t>
      </w:r>
    </w:p>
    <w:p>
      <w:pPr>
        <w:pStyle w:val="ListParagraph"/>
        <w:numPr>
          <w:ilvl w:val="0"/>
          <w:numId w:val="2"/>
        </w:numPr>
        <w:spacing w:after="70" w:line="264"/>
      </w:pPr>
      <w:r>
        <w:rPr>
          <w:rFonts w:ascii="Calibri" w:cs="Calibri" w:eastAsia="Calibri" w:hAnsi="Calibri"/>
          <w:color w:val="1a1a1a"/>
          <w:sz w:val="21"/>
          <w:szCs w:val="21"/>
        </w:rPr>
        <w:t xml:space="preserve">Contact: business email, phone number, and mailing address.</w:t>
      </w:r>
    </w:p>
    <w:p>
      <w:pPr>
        <w:pStyle w:val="ListParagraph"/>
        <w:numPr>
          <w:ilvl w:val="0"/>
          <w:numId w:val="2"/>
        </w:numPr>
        <w:spacing w:after="70" w:line="264"/>
      </w:pPr>
      <w:r>
        <w:rPr>
          <w:rFonts w:ascii="Calibri" w:cs="Calibri" w:eastAsia="Calibri" w:hAnsi="Calibri"/>
          <w:color w:val="1a1a1a"/>
          <w:sz w:val="21"/>
          <w:szCs w:val="21"/>
        </w:rPr>
        <w:t xml:space="preserve">Account credentials: username and hashed password.</w:t>
      </w:r>
    </w:p>
    <w:p>
      <w:pPr>
        <w:pStyle w:val="ListParagraph"/>
        <w:numPr>
          <w:ilvl w:val="0"/>
          <w:numId w:val="2"/>
        </w:numPr>
        <w:spacing w:after="70" w:line="264"/>
      </w:pPr>
      <w:r>
        <w:rPr>
          <w:rFonts w:ascii="Calibri" w:cs="Calibri" w:eastAsia="Calibri" w:hAnsi="Calibri"/>
          <w:color w:val="1a1a1a"/>
          <w:sz w:val="21"/>
          <w:szCs w:val="21"/>
        </w:rPr>
        <w:t xml:space="preserve">Billing: company billing address and payment method. Full card numbers are processed by our payment processor, Stripe, and are not stored by Echo 1 Labs.</w:t>
      </w:r>
    </w:p>
    <w:p>
      <w:pPr>
        <w:pStyle w:val="ListParagraph"/>
        <w:numPr>
          <w:ilvl w:val="0"/>
          <w:numId w:val="2"/>
        </w:numPr>
        <w:spacing w:after="70" w:line="264"/>
      </w:pPr>
      <w:r>
        <w:rPr>
          <w:rFonts w:ascii="Calibri" w:cs="Calibri" w:eastAsia="Calibri" w:hAnsi="Calibri"/>
          <w:color w:val="1a1a1a"/>
          <w:sz w:val="21"/>
          <w:szCs w:val="21"/>
        </w:rPr>
        <w:t xml:space="preserve">Communications: support tickets, emails, chat, and call records with Echo 1 Labs.</w:t>
      </w:r>
    </w:p>
    <w:p>
      <w:pPr>
        <w:pStyle w:val="ListParagraph"/>
        <w:numPr>
          <w:ilvl w:val="0"/>
          <w:numId w:val="2"/>
        </w:numPr>
        <w:spacing w:after="70" w:line="264"/>
      </w:pPr>
      <w:r>
        <w:rPr>
          <w:rFonts w:ascii="Calibri" w:cs="Calibri" w:eastAsia="Calibri" w:hAnsi="Calibri"/>
          <w:color w:val="1a1a1a"/>
          <w:sz w:val="21"/>
          <w:szCs w:val="21"/>
        </w:rPr>
        <w:t xml:space="preserve">Intake data: business information submitted through intake forms (e.g., PRIME GTM Engine).</w:t>
      </w:r>
    </w:p>
    <w:p>
      <w:pPr>
        <w:pStyle w:val="Heading2"/>
        <w:spacing w:after="70" w:before="180"/>
      </w:pPr>
      <w:r>
        <w:rPr>
          <w:rFonts w:ascii="Calibri" w:cs="Calibri" w:eastAsia="Calibri" w:hAnsi="Calibri"/>
          <w:b/>
          <w:bCs/>
          <w:color w:val="042839"/>
          <w:sz w:val="23"/>
          <w:szCs w:val="23"/>
        </w:rPr>
        <w:t xml:space="preserve">2.2  Client Data Submitted to the Platform</w:t>
      </w:r>
    </w:p>
    <w:p>
      <w:pPr>
        <w:spacing w:after="120" w:line="276"/>
      </w:pPr>
      <w:r>
        <w:rPr>
          <w:rFonts w:ascii="Calibri" w:cs="Calibri" w:eastAsia="Calibri" w:hAnsi="Calibri"/>
          <w:color w:val="1a1a1a"/>
          <w:sz w:val="21"/>
          <w:szCs w:val="21"/>
        </w:rPr>
        <w:t xml:space="preserve">Customers submit Client Data for AI Agent processing. This may include financial data (QBO records, P&amp;L, balance sheets), business data (customer lists, pricing, strategies), personnel and organizational data, and third-party integration data (Slack, Airtable, HubSpot). Echo 1 Labs processes Client Data as a data processor on the Customer’s documented instructions.</w:t>
      </w:r>
    </w:p>
    <w:p>
      <w:pPr>
        <w:pStyle w:val="Heading2"/>
        <w:spacing w:after="70" w:before="180"/>
      </w:pPr>
      <w:r>
        <w:rPr>
          <w:rFonts w:ascii="Calibri" w:cs="Calibri" w:eastAsia="Calibri" w:hAnsi="Calibri"/>
          <w:b/>
          <w:bCs/>
          <w:color w:val="042839"/>
          <w:sz w:val="23"/>
          <w:szCs w:val="23"/>
        </w:rPr>
        <w:t xml:space="preserve">2.3  Automatically Collected Information</w:t>
      </w:r>
    </w:p>
    <w:p>
      <w:pPr>
        <w:pStyle w:val="ListParagraph"/>
        <w:numPr>
          <w:ilvl w:val="0"/>
          <w:numId w:val="2"/>
        </w:numPr>
        <w:spacing w:after="70" w:line="264"/>
      </w:pPr>
      <w:r>
        <w:rPr>
          <w:rFonts w:ascii="Calibri" w:cs="Calibri" w:eastAsia="Calibri" w:hAnsi="Calibri"/>
          <w:color w:val="1a1a1a"/>
          <w:sz w:val="21"/>
          <w:szCs w:val="21"/>
        </w:rPr>
        <w:t xml:space="preserve">Device and technical: IP address, browser type, OS, device identifiers, referral URLs.</w:t>
      </w:r>
    </w:p>
    <w:p>
      <w:pPr>
        <w:pStyle w:val="ListParagraph"/>
        <w:numPr>
          <w:ilvl w:val="0"/>
          <w:numId w:val="2"/>
        </w:numPr>
        <w:spacing w:after="70" w:line="264"/>
      </w:pPr>
      <w:r>
        <w:rPr>
          <w:rFonts w:ascii="Calibri" w:cs="Calibri" w:eastAsia="Calibri" w:hAnsi="Calibri"/>
          <w:color w:val="1a1a1a"/>
          <w:sz w:val="21"/>
          <w:szCs w:val="21"/>
        </w:rPr>
        <w:t xml:space="preserve">Usage data: pages visited, features accessed, time spent, API request metadata.</w:t>
      </w:r>
    </w:p>
    <w:p>
      <w:pPr>
        <w:pStyle w:val="ListParagraph"/>
        <w:numPr>
          <w:ilvl w:val="0"/>
          <w:numId w:val="2"/>
        </w:numPr>
        <w:spacing w:after="70" w:line="264"/>
      </w:pPr>
      <w:r>
        <w:rPr>
          <w:rFonts w:ascii="Calibri" w:cs="Calibri" w:eastAsia="Calibri" w:hAnsi="Calibri"/>
          <w:color w:val="1a1a1a"/>
          <w:sz w:val="21"/>
          <w:szCs w:val="21"/>
        </w:rPr>
        <w:t xml:space="preserve">Performance: error logs, diagnostics, and system telemetry.</w:t>
      </w:r>
    </w:p>
    <w:p>
      <w:pPr>
        <w:pStyle w:val="ListParagraph"/>
        <w:numPr>
          <w:ilvl w:val="0"/>
          <w:numId w:val="2"/>
        </w:numPr>
        <w:spacing w:after="70" w:line="264"/>
      </w:pPr>
      <w:r>
        <w:rPr>
          <w:rFonts w:ascii="Calibri" w:cs="Calibri" w:eastAsia="Calibri" w:hAnsi="Calibri"/>
          <w:color w:val="1a1a1a"/>
          <w:sz w:val="21"/>
          <w:szCs w:val="21"/>
        </w:rPr>
        <w:t xml:space="preserve">Cookies and similar technologies: as described in Section 13.</w:t>
      </w:r>
    </w:p>
    <w:p>
      <w:pPr>
        <w:pStyle w:val="Heading2"/>
        <w:spacing w:after="70" w:before="180"/>
      </w:pPr>
      <w:r>
        <w:rPr>
          <w:rFonts w:ascii="Calibri" w:cs="Calibri" w:eastAsia="Calibri" w:hAnsi="Calibri"/>
          <w:b/>
          <w:bCs/>
          <w:color w:val="042839"/>
          <w:sz w:val="23"/>
          <w:szCs w:val="23"/>
        </w:rPr>
        <w:t xml:space="preserve">2.4  From Third-Party Integrations</w:t>
      </w:r>
    </w:p>
    <w:p>
      <w:pPr>
        <w:spacing w:after="120" w:line="276"/>
      </w:pPr>
      <w:r>
        <w:rPr>
          <w:rFonts w:ascii="Calibri" w:cs="Calibri" w:eastAsia="Calibri" w:hAnsi="Calibri"/>
          <w:color w:val="1a1a1a"/>
          <w:sz w:val="21"/>
          <w:szCs w:val="21"/>
        </w:rPr>
        <w:t xml:space="preserve">When you connect third-party services (e.g., QuickBooks Online, Slack, Airtable), we receive data authorized by your integration configuration. We process this data solely to provide the integrated functionality.</w:t>
      </w:r>
    </w:p>
    <w:p>
      <w:pPr>
        <w:pStyle w:val="Heading1"/>
        <w:spacing w:after="130" w:before="300"/>
      </w:pPr>
      <w:r>
        <w:rPr>
          <w:rFonts w:ascii="Calibri" w:cs="Calibri" w:eastAsia="Calibri" w:hAnsi="Calibri"/>
          <w:b/>
          <w:bCs/>
          <w:color w:val="00B4E6"/>
          <w:sz w:val="28"/>
          <w:szCs w:val="28"/>
        </w:rPr>
        <w:t xml:space="preserve">03.  </w:t>
      </w:r>
      <w:r>
        <w:rPr>
          <w:rFonts w:ascii="Calibri" w:cs="Calibri" w:eastAsia="Calibri" w:hAnsi="Calibri"/>
          <w:b/>
          <w:bCs/>
          <w:color w:val="042839"/>
          <w:sz w:val="28"/>
          <w:szCs w:val="28"/>
        </w:rPr>
        <w:t xml:space="preserve">Lawful Bases for Processing</w:t>
      </w:r>
    </w:p>
    <w:p>
      <w:pPr>
        <w:spacing w:after="120" w:line="276"/>
      </w:pPr>
      <w:r>
        <w:rPr>
          <w:rFonts w:ascii="Calibri" w:cs="Calibri" w:eastAsia="Calibri" w:hAnsi="Calibri"/>
          <w:color w:val="1a1a1a"/>
          <w:sz w:val="21"/>
          <w:szCs w:val="21"/>
        </w:rPr>
        <w:t xml:space="preserve">Where the GDPR or UK GDPR applies, we rely on the following lawful bases: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200"/>
        <w:gridCol w:w="6160"/>
      </w:tblGrid>
      <w:tr>
        <w:trPr>
          <w:tblHeader/>
        </w:trPr>
        <w:tc>
          <w:tcPr>
            <w:tcW w:type="dxa" w:w="32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Processing Activity</w:t>
            </w:r>
          </w:p>
        </w:tc>
        <w:tc>
          <w:tcPr>
            <w:tcW w:type="dxa" w:w="61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Lawful Basis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Providing the Platform and fulfilling our contract</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Performance of contract</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Billing and payment processing</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Performance of contract; Legal obligation</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Platform security and fraud prevention</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Legitimate interests; Legal obligation</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Product improvement (aggregated, de-identified only)</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Legitimate interests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Marketing to prospects</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Legitimate interests or consent (with opt-out)</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Legal compliance</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Legal obligation (GDPR Art. 6(1)(c))</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Processing Client Data on Customer instructions</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Data processor — the Customer’s lawful basis applies</w:t>
            </w:r>
          </w:p>
        </w:tc>
      </w:tr>
    </w:tbl>
    <w:p>
      <w:pPr>
        <w:spacing w:after="80"/>
      </w:pPr>
    </w:p>
    <w:p>
      <w:r>
        <w:br w:type="page"/>
      </w:r>
    </w:p>
    <w:p>
      <w:pPr>
        <w:pStyle w:val="Heading1"/>
        <w:spacing w:after="130" w:before="300"/>
      </w:pPr>
      <w:r>
        <w:rPr>
          <w:rFonts w:ascii="Calibri" w:cs="Calibri" w:eastAsia="Calibri" w:hAnsi="Calibri"/>
          <w:b/>
          <w:bCs/>
          <w:color w:val="00B4E6"/>
          <w:sz w:val="28"/>
          <w:szCs w:val="28"/>
        </w:rPr>
        <w:t xml:space="preserve">04.  </w:t>
      </w:r>
      <w:r>
        <w:rPr>
          <w:rFonts w:ascii="Calibri" w:cs="Calibri" w:eastAsia="Calibri" w:hAnsi="Calibri"/>
          <w:b/>
          <w:bCs/>
          <w:color w:val="042839"/>
          <w:sz w:val="28"/>
          <w:szCs w:val="28"/>
        </w:rPr>
        <w:t xml:space="preserve">How We Use Your Information</w:t>
      </w:r>
    </w:p>
    <w:p>
      <w:pPr>
        <w:pStyle w:val="ListParagraph"/>
        <w:numPr>
          <w:ilvl w:val="0"/>
          <w:numId w:val="2"/>
        </w:numPr>
        <w:spacing w:after="70" w:line="264"/>
      </w:pPr>
      <w:r>
        <w:rPr>
          <w:rFonts w:ascii="Calibri" w:cs="Calibri" w:eastAsia="Calibri" w:hAnsi="Calibri"/>
          <w:color w:val="1a1a1a"/>
          <w:sz w:val="21"/>
          <w:szCs w:val="21"/>
        </w:rPr>
        <w:t xml:space="preserve">Delivering the Platform: operating, maintaining, and improving all products and AI Agent capabilities.</w:t>
      </w:r>
    </w:p>
    <w:p>
      <w:pPr>
        <w:pStyle w:val="ListParagraph"/>
        <w:numPr>
          <w:ilvl w:val="0"/>
          <w:numId w:val="2"/>
        </w:numPr>
        <w:spacing w:after="70" w:line="264"/>
      </w:pPr>
      <w:r>
        <w:rPr>
          <w:rFonts w:ascii="Calibri" w:cs="Calibri" w:eastAsia="Calibri" w:hAnsi="Calibri"/>
          <w:color w:val="1a1a1a"/>
          <w:sz w:val="21"/>
          <w:szCs w:val="21"/>
        </w:rPr>
        <w:t xml:space="preserve">Account administration: managing subscriptions, user accounts, payments, and transactional notices.</w:t>
      </w:r>
    </w:p>
    <w:p>
      <w:pPr>
        <w:pStyle w:val="ListParagraph"/>
        <w:numPr>
          <w:ilvl w:val="0"/>
          <w:numId w:val="2"/>
        </w:numPr>
        <w:spacing w:after="70" w:line="264"/>
      </w:pPr>
      <w:r>
        <w:rPr>
          <w:rFonts w:ascii="Calibri" w:cs="Calibri" w:eastAsia="Calibri" w:hAnsi="Calibri"/>
          <w:color w:val="1a1a1a"/>
          <w:sz w:val="21"/>
          <w:szCs w:val="21"/>
        </w:rPr>
        <w:t xml:space="preserve">AI Agent operations: transmitting Client Data to AI model providers as necessary to generate AI Outputs.</w:t>
      </w:r>
    </w:p>
    <w:p>
      <w:pPr>
        <w:pStyle w:val="ListParagraph"/>
        <w:numPr>
          <w:ilvl w:val="0"/>
          <w:numId w:val="2"/>
        </w:numPr>
        <w:spacing w:after="70" w:line="264"/>
      </w:pPr>
      <w:r>
        <w:rPr>
          <w:rFonts w:ascii="Calibri" w:cs="Calibri" w:eastAsia="Calibri" w:hAnsi="Calibri"/>
          <w:color w:val="1a1a1a"/>
          <w:sz w:val="21"/>
          <w:szCs w:val="21"/>
        </w:rPr>
        <w:t xml:space="preserve">Customer support: responding to inquiries, troubleshooting, and Platform communications.</w:t>
      </w:r>
    </w:p>
    <w:p>
      <w:pPr>
        <w:pStyle w:val="ListParagraph"/>
        <w:numPr>
          <w:ilvl w:val="0"/>
          <w:numId w:val="2"/>
        </w:numPr>
        <w:spacing w:after="70" w:line="264"/>
      </w:pPr>
      <w:r>
        <w:rPr>
          <w:rFonts w:ascii="Calibri" w:cs="Calibri" w:eastAsia="Calibri" w:hAnsi="Calibri"/>
          <w:color w:val="1a1a1a"/>
          <w:sz w:val="21"/>
          <w:szCs w:val="21"/>
        </w:rPr>
        <w:t xml:space="preserve">Security: detecting and preventing unauthorized access, fraud, and security incidents.</w:t>
      </w:r>
    </w:p>
    <w:p>
      <w:pPr>
        <w:pStyle w:val="ListParagraph"/>
        <w:numPr>
          <w:ilvl w:val="0"/>
          <w:numId w:val="2"/>
        </w:numPr>
        <w:spacing w:after="70" w:line="264"/>
      </w:pPr>
      <w:r>
        <w:rPr>
          <w:rFonts w:ascii="Calibri" w:cs="Calibri" w:eastAsia="Calibri" w:hAnsi="Calibri"/>
          <w:color w:val="1a1a1a"/>
          <w:sz w:val="21"/>
          <w:szCs w:val="21"/>
        </w:rPr>
        <w:t xml:space="preserve">Product development: improving Platform features using aggregated, de-identified usage data only (no identifiable Client Data without consent).</w:t>
      </w:r>
    </w:p>
    <w:p>
      <w:pPr>
        <w:pStyle w:val="ListParagraph"/>
        <w:numPr>
          <w:ilvl w:val="0"/>
          <w:numId w:val="2"/>
        </w:numPr>
        <w:spacing w:after="70" w:line="264"/>
      </w:pPr>
      <w:r>
        <w:rPr>
          <w:rFonts w:ascii="Calibri" w:cs="Calibri" w:eastAsia="Calibri" w:hAnsi="Calibri"/>
          <w:color w:val="1a1a1a"/>
          <w:sz w:val="21"/>
          <w:szCs w:val="21"/>
        </w:rPr>
        <w:t xml:space="preserve">Legal compliance: fulfilling legal obligations, responding to lawful government requests, and enforcing our Terms of Service.</w:t>
      </w:r>
    </w:p>
    <w:p>
      <w:pPr>
        <w:pStyle w:val="ListParagraph"/>
        <w:numPr>
          <w:ilvl w:val="0"/>
          <w:numId w:val="2"/>
        </w:numPr>
        <w:spacing w:after="70" w:line="264"/>
      </w:pPr>
      <w:r>
        <w:rPr>
          <w:rFonts w:ascii="Calibri" w:cs="Calibri" w:eastAsia="Calibri" w:hAnsi="Calibri"/>
          <w:color w:val="1a1a1a"/>
          <w:sz w:val="21"/>
          <w:szCs w:val="21"/>
        </w:rPr>
        <w:t xml:space="preserve">Marketing: promotional communications to prospects and, where permitted, existing Customers (opt-out always available).</w:t>
      </w:r>
    </w:p>
    <w:p>
      <w:pPr>
        <w:pStyle w:val="Heading1"/>
        <w:spacing w:after="130" w:before="300"/>
      </w:pPr>
      <w:r>
        <w:rPr>
          <w:rFonts w:ascii="Calibri" w:cs="Calibri" w:eastAsia="Calibri" w:hAnsi="Calibri"/>
          <w:b/>
          <w:bCs/>
          <w:color w:val="00B4E6"/>
          <w:sz w:val="28"/>
          <w:szCs w:val="28"/>
        </w:rPr>
        <w:t xml:space="preserve">05.  </w:t>
      </w:r>
      <w:r>
        <w:rPr>
          <w:rFonts w:ascii="Calibri" w:cs="Calibri" w:eastAsia="Calibri" w:hAnsi="Calibri"/>
          <w:b/>
          <w:bCs/>
          <w:color w:val="042839"/>
          <w:sz w:val="28"/>
          <w:szCs w:val="28"/>
        </w:rPr>
        <w:t xml:space="preserve">AI Processing Disclosure and Automated Decision-Making</w:t>
      </w:r>
    </w:p>
    <w:p>
      <w:pPr>
        <w:pStyle w:val="Heading2"/>
        <w:spacing w:after="70" w:before="180"/>
      </w:pPr>
      <w:r>
        <w:rPr>
          <w:rFonts w:ascii="Calibri" w:cs="Calibri" w:eastAsia="Calibri" w:hAnsi="Calibri"/>
          <w:b/>
          <w:bCs/>
          <w:color w:val="042839"/>
          <w:sz w:val="23"/>
          <w:szCs w:val="23"/>
        </w:rPr>
        <w:t xml:space="preserve">5.1  AI-Assisted Processing</w:t>
      </w:r>
    </w:p>
    <w:p>
      <w:pPr>
        <w:spacing w:after="120" w:line="276"/>
      </w:pPr>
      <w:r>
        <w:rPr>
          <w:rFonts w:ascii="Calibri" w:cs="Calibri" w:eastAsia="Calibri" w:hAnsi="Calibri"/>
          <w:color w:val="1a1a1a"/>
          <w:sz w:val="21"/>
          <w:szCs w:val="21"/>
        </w:rPr>
        <w:t xml:space="preserve">The Platform uses AI, including large language models (LLMs) from third parties, to process Client Data and generate AI Outputs for analysis and synthesis of financial and business data, research, drafting for human review, workflow orchestration, and generation of recommendations and insights.</w:t>
      </w:r>
    </w:p>
    <w:p>
      <w:pPr>
        <w:pStyle w:val="Heading2"/>
        <w:spacing w:after="70" w:before="180"/>
      </w:pPr>
      <w:r>
        <w:rPr>
          <w:rFonts w:ascii="Calibri" w:cs="Calibri" w:eastAsia="Calibri" w:hAnsi="Calibri"/>
          <w:b/>
          <w:bCs/>
          <w:color w:val="042839"/>
          <w:sz w:val="23"/>
          <w:szCs w:val="23"/>
        </w:rPr>
        <w:t xml:space="preserve">5.2  Human-in-the-Loop Requirement</w:t>
      </w:r>
    </w:p>
    <w:p>
      <w:pPr>
        <w:spacing w:after="120" w:line="276"/>
      </w:pPr>
      <w:r>
        <w:rPr>
          <w:rFonts w:ascii="Calibri" w:cs="Calibri" w:eastAsia="Calibri" w:hAnsi="Calibri"/>
          <w:color w:val="1a1a1a"/>
          <w:sz w:val="21"/>
          <w:szCs w:val="21"/>
        </w:rPr>
        <w:t xml:space="preserve">All AI Outputs that could constitute a Consequential Decision are subject to mandatory human review and sign-off before taking effect. No AI Agent makes final, legally significant decisions about individuals solely by automated means without a human checkpoint. Accuracy disclaimers are also surfaced in-product at the point an AI Output is generated, not only in this Policy.</w:t>
      </w:r>
    </w:p>
    <w:p>
      <w:pPr>
        <w:pStyle w:val="Heading2"/>
        <w:spacing w:after="70" w:before="180"/>
      </w:pPr>
      <w:r>
        <w:rPr>
          <w:rFonts w:ascii="Calibri" w:cs="Calibri" w:eastAsia="Calibri" w:hAnsi="Calibri"/>
          <w:b/>
          <w:bCs/>
          <w:color w:val="042839"/>
          <w:sz w:val="23"/>
          <w:szCs w:val="23"/>
        </w:rPr>
        <w:t xml:space="preserve">5.3  Texas TRAIGA Transparency</w:t>
      </w:r>
    </w:p>
    <w:p>
      <w:pPr>
        <w:spacing w:after="120" w:line="276"/>
      </w:pPr>
      <w:r>
        <w:rPr>
          <w:rFonts w:ascii="Calibri" w:cs="Calibri" w:eastAsia="Calibri" w:hAnsi="Calibri"/>
          <w:color w:val="1a1a1a"/>
          <w:sz w:val="21"/>
          <w:szCs w:val="21"/>
        </w:rPr>
        <w:t xml:space="preserve">The Texas Responsible Artificial Intelligence Governance Act (HB 149, effective January 1, 2026) restricts certain uses of AI, such as intentional manipulation and unlawful discrimination. Echo 1 Labs does not use AI for those prohibited purposes. As a matter of transparency, we maintain internal AI governance documentation describing our AI systems, their intended uses, known limitations, and safeguards, and Texas residents may request a summary at privacy@echo1labs.com.</w:t>
      </w:r>
    </w:p>
    <w:p>
      <w:pPr>
        <w:pStyle w:val="Heading2"/>
        <w:spacing w:after="70" w:before="180"/>
      </w:pPr>
      <w:r>
        <w:rPr>
          <w:rFonts w:ascii="Calibri" w:cs="Calibri" w:eastAsia="Calibri" w:hAnsi="Calibri"/>
          <w:b/>
          <w:bCs/>
          <w:color w:val="042839"/>
          <w:sz w:val="23"/>
          <w:szCs w:val="23"/>
        </w:rPr>
        <w:t xml:space="preserve">5.4  GDPR Art. 22 and CCPA ADMT</w:t>
      </w:r>
    </w:p>
    <w:p>
      <w:pPr>
        <w:spacing w:after="120" w:line="276"/>
      </w:pPr>
      <w:r>
        <w:rPr>
          <w:rFonts w:ascii="Calibri" w:cs="Calibri" w:eastAsia="Calibri" w:hAnsi="Calibri"/>
          <w:color w:val="1a1a1a"/>
          <w:sz w:val="21"/>
          <w:szCs w:val="21"/>
        </w:rPr>
        <w:t xml:space="preserve">The Platform does not make decisions producing legal or similarly significant effects on individuals solely through automated processing without a human checkpoint, consistent with GDPR Article 22. California’s CCPA automated decision-making technology (ADMT) regulations were adopted effective January 1, 2026, with the ADMT-specific obligations phasing in from January 1, 2027; we will comply with those obligations as they take effect to the extent they apply to us.</w:t>
      </w:r>
    </w:p>
    <w:p>
      <w:pPr>
        <w:pBdr>
          <w:left w:val="single" w:color="B00020" w:sz="18"/>
        </w:pBdr>
        <w:shd w:fill="FDECEA" w:val="clear"/>
        <w:spacing w:after="120" w:before="80"/>
      </w:pPr>
      <w:r>
        <w:rPr>
          <w:rFonts w:ascii="Calibri" w:cs="Calibri" w:eastAsia="Calibri" w:hAnsi="Calibri"/>
          <w:b/>
          <w:bCs/>
          <w:color w:val="7A0016"/>
          <w:sz w:val="18"/>
          <w:szCs w:val="18"/>
        </w:rPr>
        <w:t xml:space="preserve">AI OUTPUTS MAY BE INACCURATE, INCOMPLETE, OR CONTAIN ERRORS ("HALLUCINATIONS"). AI OUTPUTS ARE NOT PROFESSIONAL FINANCIAL, LEGAL, ACCOUNTING, OR OTHER LICENSED PROFESSIONAL ADVICE. CUSTOMERS ARE SOLELY RESPONSIBLE FOR INDEPENDENTLY VERIFYING AI OUTPUTS BEFORE RELYING ON THEM FOR ANY DECISION.</w:t>
      </w:r>
    </w:p>
    <w:p>
      <w:pPr>
        <w:pStyle w:val="Heading1"/>
        <w:spacing w:after="130" w:before="300"/>
      </w:pPr>
      <w:r>
        <w:rPr>
          <w:rFonts w:ascii="Calibri" w:cs="Calibri" w:eastAsia="Calibri" w:hAnsi="Calibri"/>
          <w:b/>
          <w:bCs/>
          <w:color w:val="00B4E6"/>
          <w:sz w:val="28"/>
          <w:szCs w:val="28"/>
        </w:rPr>
        <w:t xml:space="preserve">06.  </w:t>
      </w:r>
      <w:r>
        <w:rPr>
          <w:rFonts w:ascii="Calibri" w:cs="Calibri" w:eastAsia="Calibri" w:hAnsi="Calibri"/>
          <w:b/>
          <w:bCs/>
          <w:color w:val="042839"/>
          <w:sz w:val="28"/>
          <w:szCs w:val="28"/>
        </w:rPr>
        <w:t xml:space="preserve">How We Share Information</w:t>
      </w:r>
    </w:p>
    <w:p>
      <w:pPr>
        <w:spacing w:after="120" w:line="276"/>
      </w:pPr>
      <w:r>
        <w:rPr>
          <w:rFonts w:ascii="Calibri" w:cs="Calibri" w:eastAsia="Calibri" w:hAnsi="Calibri"/>
          <w:b/>
          <w:bCs/>
          <w:color w:val="1a1a1a"/>
          <w:sz w:val="21"/>
          <w:szCs w:val="21"/>
        </w:rPr>
        <w:t xml:space="preserve">We do not sell your personal information, and we do not share it for cross-context behavioral advertising. </w:t>
      </w:r>
      <w:r>
        <w:rPr>
          <w:rFonts w:ascii="Calibri" w:cs="Calibri" w:eastAsia="Calibri" w:hAnsi="Calibri"/>
          <w:color w:val="1a1a1a"/>
          <w:sz w:val="21"/>
          <w:szCs w:val="21"/>
        </w:rPr>
        <w:t xml:space="preserve">We do not conduct targeted advertising. We disclose information only as described below.</w:t>
      </w:r>
    </w:p>
    <w:p>
      <w:pPr>
        <w:pStyle w:val="Heading2"/>
        <w:spacing w:after="70" w:before="180"/>
      </w:pPr>
      <w:r>
        <w:rPr>
          <w:rFonts w:ascii="Calibri" w:cs="Calibri" w:eastAsia="Calibri" w:hAnsi="Calibri"/>
          <w:b/>
          <w:bCs/>
          <w:color w:val="042839"/>
          <w:sz w:val="23"/>
          <w:szCs w:val="23"/>
        </w:rPr>
        <w:t xml:space="preserve">6.1  Sub-Processors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200"/>
        <w:gridCol w:w="6160"/>
      </w:tblGrid>
      <w:tr>
        <w:trPr>
          <w:tblHeader/>
        </w:trPr>
        <w:tc>
          <w:tcPr>
            <w:tcW w:type="dxa" w:w="32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Sub-Processor</w:t>
            </w:r>
          </w:p>
        </w:tc>
        <w:tc>
          <w:tcPr>
            <w:tcW w:type="dxa" w:w="61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Purpose</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AI Model Provider (Anthropic, via AWS Bedrock)</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Generating AI Outputs from Client Data</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Cloud Infrastructure &amp; Analytics (Amazon Web Services)</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Hosting, compute, storage, security, and first-party usage analytics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Database Services (Supabase)</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Data persistence and multi-tenant isolation</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Deployment Platform (Vercel)</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Application hosting and edge delivery</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Workflow Automation (n8n Cloud)</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Automated workflow orchestration</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Payment Processor (Stripe)</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Processing fees and payments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Communications (Slack, email providers)</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Notifications and customer communications</w:t>
            </w:r>
          </w:p>
        </w:tc>
      </w:tr>
    </w:tbl>
    <w:p>
      <w:pPr>
        <w:spacing w:after="80"/>
      </w:pPr>
    </w:p>
    <w:p>
      <w:pPr>
        <w:spacing w:after="120" w:line="276"/>
      </w:pPr>
      <w:r>
        <w:rPr>
          <w:rFonts w:ascii="Calibri" w:cs="Calibri" w:eastAsia="Calibri" w:hAnsi="Calibri"/>
          <w:color w:val="1a1a1a"/>
          <w:sz w:val="21"/>
          <w:szCs w:val="21"/>
        </w:rPr>
        <w:t xml:space="preserve">A current sub-processor list, including processing locations, is available on request and in the DPA. We conduct a security review of each sub-processor before onboarding and bind each to obligations no less protective than those in this Policy.</w:t>
      </w:r>
    </w:p>
    <w:p>
      <w:pPr>
        <w:pStyle w:val="Heading2"/>
        <w:spacing w:after="70" w:before="180"/>
      </w:pPr>
      <w:r>
        <w:rPr>
          <w:rFonts w:ascii="Calibri" w:cs="Calibri" w:eastAsia="Calibri" w:hAnsi="Calibri"/>
          <w:b/>
          <w:bCs/>
          <w:color w:val="042839"/>
          <w:sz w:val="23"/>
          <w:szCs w:val="23"/>
        </w:rPr>
        <w:t xml:space="preserve">6.2  Legal and Safety Requirements</w:t>
      </w:r>
    </w:p>
    <w:p>
      <w:pPr>
        <w:spacing w:after="120" w:line="276"/>
      </w:pPr>
      <w:r>
        <w:rPr>
          <w:rFonts w:ascii="Calibri" w:cs="Calibri" w:eastAsia="Calibri" w:hAnsi="Calibri"/>
          <w:color w:val="1a1a1a"/>
          <w:sz w:val="21"/>
          <w:szCs w:val="21"/>
        </w:rPr>
        <w:t xml:space="preserve">We disclose information when required by law, court order, or lawful government request; to protect the rights and safety of Echo 1 Labs, our customers, or the public; or to investigate fraud and security incidents.</w:t>
      </w:r>
    </w:p>
    <w:p>
      <w:pPr>
        <w:pStyle w:val="Heading2"/>
        <w:spacing w:after="70" w:before="180"/>
      </w:pPr>
      <w:r>
        <w:rPr>
          <w:rFonts w:ascii="Calibri" w:cs="Calibri" w:eastAsia="Calibri" w:hAnsi="Calibri"/>
          <w:b/>
          <w:bCs/>
          <w:color w:val="042839"/>
          <w:sz w:val="23"/>
          <w:szCs w:val="23"/>
        </w:rPr>
        <w:t xml:space="preserve">6.3  Business Transfers</w:t>
      </w:r>
    </w:p>
    <w:p>
      <w:pPr>
        <w:spacing w:after="120" w:line="276"/>
      </w:pPr>
      <w:r>
        <w:rPr>
          <w:rFonts w:ascii="Calibri" w:cs="Calibri" w:eastAsia="Calibri" w:hAnsi="Calibri"/>
          <w:color w:val="1a1a1a"/>
          <w:sz w:val="21"/>
          <w:szCs w:val="21"/>
        </w:rPr>
        <w:t xml:space="preserve">In connection with a merger, acquisition, or sale of assets, information may transfer to a successor entity with appropriate confidentiality protections and required customer notification.</w:t>
      </w:r>
    </w:p>
    <w:p>
      <w:r>
        <w:br w:type="page"/>
      </w:r>
    </w:p>
    <w:p>
      <w:pPr>
        <w:pStyle w:val="Heading1"/>
        <w:spacing w:after="130" w:before="300"/>
      </w:pPr>
      <w:r>
        <w:rPr>
          <w:rFonts w:ascii="Calibri" w:cs="Calibri" w:eastAsia="Calibri" w:hAnsi="Calibri"/>
          <w:b/>
          <w:bCs/>
          <w:color w:val="00B4E6"/>
          <w:sz w:val="28"/>
          <w:szCs w:val="28"/>
        </w:rPr>
        <w:t xml:space="preserve">07.  </w:t>
      </w:r>
      <w:r>
        <w:rPr>
          <w:rFonts w:ascii="Calibri" w:cs="Calibri" w:eastAsia="Calibri" w:hAnsi="Calibri"/>
          <w:b/>
          <w:bCs/>
          <w:color w:val="042839"/>
          <w:sz w:val="28"/>
          <w:szCs w:val="28"/>
        </w:rPr>
        <w:t xml:space="preserve">Data Retention</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200"/>
        <w:gridCol w:w="6160"/>
      </w:tblGrid>
      <w:tr>
        <w:trPr>
          <w:tblHeader/>
        </w:trPr>
        <w:tc>
          <w:tcPr>
            <w:tcW w:type="dxa" w:w="32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Data Category</w:t>
            </w:r>
          </w:p>
        </w:tc>
        <w:tc>
          <w:tcPr>
            <w:tcW w:type="dxa" w:w="61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Retention Period</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Account and subscription data</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Duration of subscription + 24 months, unless a longer period is legally required</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Financial and billing records</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7 years from transaction date (tax and audit basis)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Client Data (active subscription)</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Duration of subscription + 30-day export window post-termination</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Client Data (after export window)</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Deleted or de-identified in the ordinary course</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Usage logs and telemetry</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12 months (rolling)</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Security and audit logs</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12 months, or as required by applicable security frameworks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Marketing communications</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Until opt-out + 90 days</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Legal hold data</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Duration of the hold per applicable legal process</w:t>
            </w:r>
          </w:p>
        </w:tc>
      </w:tr>
    </w:tbl>
    <w:p>
      <w:pPr>
        <w:spacing w:after="80"/>
      </w:pPr>
    </w:p>
    <w:p>
      <w:pPr>
        <w:spacing w:after="120" w:line="276"/>
      </w:pPr>
      <w:r>
        <w:rPr>
          <w:rFonts w:ascii="Calibri" w:cs="Calibri" w:eastAsia="Calibri" w:hAnsi="Calibri"/>
          <w:color w:val="1a1a1a"/>
          <w:sz w:val="21"/>
          <w:szCs w:val="21"/>
        </w:rPr>
        <w:t xml:space="preserve">Retention periods are set per category under data-minimization and storage-limitation principles. We retain only what each purpose requires.</w:t>
      </w:r>
    </w:p>
    <w:p>
      <w:pPr>
        <w:pStyle w:val="Heading1"/>
        <w:spacing w:after="130" w:before="300"/>
      </w:pPr>
      <w:r>
        <w:rPr>
          <w:rFonts w:ascii="Calibri" w:cs="Calibri" w:eastAsia="Calibri" w:hAnsi="Calibri"/>
          <w:b/>
          <w:bCs/>
          <w:color w:val="00B4E6"/>
          <w:sz w:val="28"/>
          <w:szCs w:val="28"/>
        </w:rPr>
        <w:t xml:space="preserve">08.  </w:t>
      </w:r>
      <w:r>
        <w:rPr>
          <w:rFonts w:ascii="Calibri" w:cs="Calibri" w:eastAsia="Calibri" w:hAnsi="Calibri"/>
          <w:b/>
          <w:bCs/>
          <w:color w:val="042839"/>
          <w:sz w:val="28"/>
          <w:szCs w:val="28"/>
        </w:rPr>
        <w:t xml:space="preserve">Data Security and Breach Notification</w:t>
      </w:r>
    </w:p>
    <w:p>
      <w:pPr>
        <w:pStyle w:val="ListParagraph"/>
        <w:numPr>
          <w:ilvl w:val="0"/>
          <w:numId w:val="2"/>
        </w:numPr>
        <w:spacing w:after="70" w:line="264"/>
      </w:pPr>
      <w:r>
        <w:rPr>
          <w:rFonts w:ascii="Calibri" w:cs="Calibri" w:eastAsia="Calibri" w:hAnsi="Calibri"/>
          <w:color w:val="1a1a1a"/>
          <w:sz w:val="21"/>
          <w:szCs w:val="21"/>
        </w:rPr>
        <w:t xml:space="preserve">Encryption at rest (AES-256) and in transit (TLS 1.2+) for Client Data.</w:t>
      </w:r>
    </w:p>
    <w:p>
      <w:pPr>
        <w:pStyle w:val="ListParagraph"/>
        <w:numPr>
          <w:ilvl w:val="0"/>
          <w:numId w:val="2"/>
        </w:numPr>
        <w:spacing w:after="70" w:line="264"/>
      </w:pPr>
      <w:r>
        <w:rPr>
          <w:rFonts w:ascii="Calibri" w:cs="Calibri" w:eastAsia="Calibri" w:hAnsi="Calibri"/>
          <w:color w:val="1a1a1a"/>
          <w:sz w:val="21"/>
          <w:szCs w:val="21"/>
        </w:rPr>
        <w:t xml:space="preserve">Multi-tenant isolation: each Customer’s Tenant is logically isolated in the Platform’s infrastructure.</w:t>
      </w:r>
    </w:p>
    <w:p>
      <w:pPr>
        <w:pStyle w:val="ListParagraph"/>
        <w:numPr>
          <w:ilvl w:val="0"/>
          <w:numId w:val="2"/>
        </w:numPr>
        <w:spacing w:after="70" w:line="264"/>
      </w:pPr>
      <w:r>
        <w:rPr>
          <w:rFonts w:ascii="Calibri" w:cs="Calibri" w:eastAsia="Calibri" w:hAnsi="Calibri"/>
          <w:color w:val="1a1a1a"/>
          <w:sz w:val="21"/>
          <w:szCs w:val="21"/>
        </w:rPr>
        <w:t xml:space="preserve">Access controls: role-based, least-privilege, with mandatory MFA for administrative access.</w:t>
      </w:r>
    </w:p>
    <w:p>
      <w:pPr>
        <w:pStyle w:val="ListParagraph"/>
        <w:numPr>
          <w:ilvl w:val="0"/>
          <w:numId w:val="2"/>
        </w:numPr>
        <w:spacing w:after="70" w:line="264"/>
      </w:pPr>
      <w:r>
        <w:rPr>
          <w:rFonts w:ascii="Calibri" w:cs="Calibri" w:eastAsia="Calibri" w:hAnsi="Calibri"/>
          <w:color w:val="1a1a1a"/>
          <w:sz w:val="21"/>
          <w:szCs w:val="21"/>
        </w:rPr>
        <w:t xml:space="preserve">Audit logging: comprehensive audit trails of AI Agent actions and user activities.</w:t>
      </w:r>
    </w:p>
    <w:p>
      <w:pPr>
        <w:pStyle w:val="ListParagraph"/>
        <w:numPr>
          <w:ilvl w:val="0"/>
          <w:numId w:val="2"/>
        </w:numPr>
        <w:spacing w:after="70" w:line="264"/>
      </w:pPr>
      <w:r>
        <w:rPr>
          <w:rFonts w:ascii="Calibri" w:cs="Calibri" w:eastAsia="Calibri" w:hAnsi="Calibri"/>
          <w:color w:val="1a1a1a"/>
          <w:sz w:val="21"/>
          <w:szCs w:val="21"/>
        </w:rPr>
        <w:t xml:space="preserve">Vulnerability management: regular security assessments, penetration testing, and patch management.</w:t>
      </w:r>
    </w:p>
    <w:p>
      <w:pPr>
        <w:pStyle w:val="ListParagraph"/>
        <w:numPr>
          <w:ilvl w:val="0"/>
          <w:numId w:val="2"/>
        </w:numPr>
        <w:spacing w:after="70" w:line="264"/>
      </w:pPr>
      <w:r>
        <w:rPr>
          <w:rFonts w:ascii="Calibri" w:cs="Calibri" w:eastAsia="Calibri" w:hAnsi="Calibri"/>
          <w:color w:val="1a1a1a"/>
          <w:sz w:val="21"/>
          <w:szCs w:val="21"/>
        </w:rPr>
        <w:t xml:space="preserve">Vendor security review: sub-processors evaluated before onboarding.</w:t>
      </w:r>
    </w:p>
    <w:p>
      <w:pPr>
        <w:spacing w:after="120" w:line="276"/>
      </w:pPr>
      <w:r>
        <w:rPr>
          <w:rFonts w:ascii="Calibri" w:cs="Calibri" w:eastAsia="Calibri" w:hAnsi="Calibri"/>
          <w:b/>
          <w:bCs/>
          <w:color w:val="1a1a1a"/>
          <w:sz w:val="21"/>
          <w:szCs w:val="21"/>
        </w:rPr>
        <w:t xml:space="preserve">Breach notification. </w:t>
      </w:r>
      <w:r>
        <w:rPr>
          <w:rFonts w:ascii="Calibri" w:cs="Calibri" w:eastAsia="Calibri" w:hAnsi="Calibri"/>
          <w:color w:val="1a1a1a"/>
          <w:sz w:val="21"/>
          <w:szCs w:val="21"/>
        </w:rPr>
        <w:t xml:space="preserve">If we confirm a security incident affecting personal data, we will notify affected Customers without undue delay and no later than 72 hours after confirmation. Where Echo 1 Labs is a processor, we notify the affected Customer (the controller) so it can meet its own obligations. Statutory timelines differ by law: the GDPR requires a controller to notify its supervisory authority within 72 hours, while Texas law (Bus. &amp; Com. Code § 521.053) requires notice to affected individuals without unreasonable delay and no later than 60 days, and to the Texas Attorney General within 30 days if 250 or more Texas residents are affected.</w:t>
      </w:r>
    </w:p>
    <w:p>
      <w:pPr>
        <w:pStyle w:val="Heading1"/>
        <w:spacing w:after="130" w:before="300"/>
      </w:pPr>
      <w:r>
        <w:rPr>
          <w:rFonts w:ascii="Calibri" w:cs="Calibri" w:eastAsia="Calibri" w:hAnsi="Calibri"/>
          <w:b/>
          <w:bCs/>
          <w:color w:val="00B4E6"/>
          <w:sz w:val="28"/>
          <w:szCs w:val="28"/>
        </w:rPr>
        <w:t xml:space="preserve">09.  </w:t>
      </w:r>
      <w:r>
        <w:rPr>
          <w:rFonts w:ascii="Calibri" w:cs="Calibri" w:eastAsia="Calibri" w:hAnsi="Calibri"/>
          <w:b/>
          <w:bCs/>
          <w:color w:val="042839"/>
          <w:sz w:val="28"/>
          <w:szCs w:val="28"/>
        </w:rPr>
        <w:t xml:space="preserve">Your Privacy Rights and Choices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2600"/>
        <w:gridCol w:w="6760"/>
      </w:tblGrid>
      <w:tr>
        <w:trPr>
          <w:tblHeader/>
        </w:trPr>
        <w:tc>
          <w:tcPr>
            <w:tcW w:type="dxa" w:w="26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Right</w:t>
            </w:r>
          </w:p>
        </w:tc>
        <w:tc>
          <w:tcPr>
            <w:tcW w:type="dxa" w:w="67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What it means</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Access</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Confirm whether we process your data and obtain a copy.</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Correction</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Request correction of inaccurate or incomplete personal data.</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Deletion</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Request deletion of your personal data, subject to legal retention obligations.</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Portability</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Receive your data in a portable, machine-readable format.</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Opt-Out (Marketing)</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Unsubscribe from promotional email at any time via the unsubscribe link.</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Restriction / Objection</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Request restriction of, or object to, certain processing.</w:t>
            </w:r>
          </w:p>
        </w:tc>
      </w:tr>
    </w:tbl>
    <w:p>
      <w:pPr>
        <w:spacing w:after="80"/>
      </w:pPr>
    </w:p>
    <w:p>
      <w:pPr>
        <w:spacing w:after="120" w:line="276"/>
      </w:pPr>
      <w:r>
        <w:rPr>
          <w:rFonts w:ascii="Calibri" w:cs="Calibri" w:eastAsia="Calibri" w:hAnsi="Calibri"/>
          <w:color w:val="1a1a1a"/>
          <w:sz w:val="21"/>
          <w:szCs w:val="21"/>
        </w:rPr>
        <w:t xml:space="preserve">To exercise these rights, contact privacy@echo1labs.com. We respond within the timeframe required by applicable law and will not discriminate against you for exercising any privacy right. If your data is contained in Client Data submitted by a Customer, we will refer your request to that Customer, who is the controller responsible for responding.</w:t>
      </w:r>
    </w:p>
    <w:p>
      <w:r>
        <w:br w:type="page"/>
      </w:r>
    </w:p>
    <w:p>
      <w:pPr>
        <w:pStyle w:val="Heading1"/>
        <w:spacing w:after="130" w:before="300"/>
      </w:pPr>
      <w:r>
        <w:rPr>
          <w:rFonts w:ascii="Calibri" w:cs="Calibri" w:eastAsia="Calibri" w:hAnsi="Calibri"/>
          <w:b/>
          <w:bCs/>
          <w:color w:val="00B4E6"/>
          <w:sz w:val="28"/>
          <w:szCs w:val="28"/>
        </w:rPr>
        <w:t xml:space="preserve">10.  </w:t>
      </w:r>
      <w:r>
        <w:rPr>
          <w:rFonts w:ascii="Calibri" w:cs="Calibri" w:eastAsia="Calibri" w:hAnsi="Calibri"/>
          <w:b/>
          <w:bCs/>
          <w:color w:val="042839"/>
          <w:sz w:val="28"/>
          <w:szCs w:val="28"/>
        </w:rPr>
        <w:t xml:space="preserve">Texas-Specific Rights (TDPSA / TRAIGA)</w:t>
      </w:r>
    </w:p>
    <w:p>
      <w:pPr>
        <w:pStyle w:val="Heading2"/>
        <w:spacing w:after="70" w:before="180"/>
      </w:pPr>
      <w:r>
        <w:rPr>
          <w:rFonts w:ascii="Calibri" w:cs="Calibri" w:eastAsia="Calibri" w:hAnsi="Calibri"/>
          <w:b/>
          <w:bCs/>
          <w:color w:val="042839"/>
          <w:sz w:val="23"/>
          <w:szCs w:val="23"/>
        </w:rPr>
        <w:t xml:space="preserve">10.1  Rights Under the TDPSA</w:t>
      </w:r>
    </w:p>
    <w:p>
      <w:pPr>
        <w:pStyle w:val="ListParagraph"/>
        <w:numPr>
          <w:ilvl w:val="0"/>
          <w:numId w:val="2"/>
        </w:numPr>
        <w:spacing w:after="70" w:line="264"/>
      </w:pPr>
      <w:r>
        <w:rPr>
          <w:rFonts w:ascii="Calibri" w:cs="Calibri" w:eastAsia="Calibri" w:hAnsi="Calibri"/>
          <w:color w:val="1a1a1a"/>
          <w:sz w:val="21"/>
          <w:szCs w:val="21"/>
        </w:rPr>
        <w:t xml:space="preserve">Right to access: confirm whether we process your personal data and obtain a copy.</w:t>
      </w:r>
    </w:p>
    <w:p>
      <w:pPr>
        <w:pStyle w:val="ListParagraph"/>
        <w:numPr>
          <w:ilvl w:val="0"/>
          <w:numId w:val="2"/>
        </w:numPr>
        <w:spacing w:after="70" w:line="264"/>
      </w:pPr>
      <w:r>
        <w:rPr>
          <w:rFonts w:ascii="Calibri" w:cs="Calibri" w:eastAsia="Calibri" w:hAnsi="Calibri"/>
          <w:color w:val="1a1a1a"/>
          <w:sz w:val="21"/>
          <w:szCs w:val="21"/>
        </w:rPr>
        <w:t xml:space="preserve">Right to correction: request correction of inaccurate personal data.</w:t>
      </w:r>
    </w:p>
    <w:p>
      <w:pPr>
        <w:pStyle w:val="ListParagraph"/>
        <w:numPr>
          <w:ilvl w:val="0"/>
          <w:numId w:val="2"/>
        </w:numPr>
        <w:spacing w:after="70" w:line="264"/>
      </w:pPr>
      <w:r>
        <w:rPr>
          <w:rFonts w:ascii="Calibri" w:cs="Calibri" w:eastAsia="Calibri" w:hAnsi="Calibri"/>
          <w:color w:val="1a1a1a"/>
          <w:sz w:val="21"/>
          <w:szCs w:val="21"/>
        </w:rPr>
        <w:t xml:space="preserve">Right to deletion: request deletion of personal data we hold about you.</w:t>
      </w:r>
    </w:p>
    <w:p>
      <w:pPr>
        <w:pStyle w:val="ListParagraph"/>
        <w:numPr>
          <w:ilvl w:val="0"/>
          <w:numId w:val="2"/>
        </w:numPr>
        <w:spacing w:after="70" w:line="264"/>
      </w:pPr>
      <w:r>
        <w:rPr>
          <w:rFonts w:ascii="Calibri" w:cs="Calibri" w:eastAsia="Calibri" w:hAnsi="Calibri"/>
          <w:color w:val="1a1a1a"/>
          <w:sz w:val="21"/>
          <w:szCs w:val="21"/>
        </w:rPr>
        <w:t xml:space="preserve">Right to data portability: receive your data in a portable, machine-readable format.</w:t>
      </w:r>
    </w:p>
    <w:p>
      <w:pPr>
        <w:pStyle w:val="ListParagraph"/>
        <w:numPr>
          <w:ilvl w:val="0"/>
          <w:numId w:val="2"/>
        </w:numPr>
        <w:spacing w:after="70" w:line="264"/>
      </w:pPr>
      <w:r>
        <w:rPr>
          <w:rFonts w:ascii="Calibri" w:cs="Calibri" w:eastAsia="Calibri" w:hAnsi="Calibri"/>
          <w:color w:val="1a1a1a"/>
          <w:sz w:val="21"/>
          <w:szCs w:val="21"/>
        </w:rPr>
        <w:t xml:space="preserve">Right to opt out of targeted advertising, sale, and certain profiling.</w:t>
      </w:r>
    </w:p>
    <w:p>
      <w:pPr>
        <w:pStyle w:val="ListParagraph"/>
        <w:numPr>
          <w:ilvl w:val="0"/>
          <w:numId w:val="2"/>
        </w:numPr>
        <w:spacing w:after="70" w:line="264"/>
      </w:pPr>
      <w:r>
        <w:rPr>
          <w:rFonts w:ascii="Calibri" w:cs="Calibri" w:eastAsia="Calibri" w:hAnsi="Calibri"/>
          <w:color w:val="1a1a1a"/>
          <w:sz w:val="21"/>
          <w:szCs w:val="21"/>
        </w:rPr>
        <w:t xml:space="preserve">Right to non-discrimination for exercising your rights.</w:t>
      </w:r>
    </w:p>
    <w:p>
      <w:pPr>
        <w:spacing w:after="120" w:line="276"/>
      </w:pPr>
      <w:r>
        <w:rPr>
          <w:rFonts w:ascii="Calibri" w:cs="Calibri" w:eastAsia="Calibri" w:hAnsi="Calibri"/>
          <w:color w:val="1a1a1a"/>
          <w:sz w:val="21"/>
          <w:szCs w:val="21"/>
        </w:rPr>
        <w:t xml:space="preserve">We will respond to TDPSA consumer requests within 45 days (extendable by 45 days with notice). If you are dissatisfied with our response, you may appeal within a reasonable time; we will respond to appeals within 60 days. Contact: privacy@echo1labs.com.</w:t>
      </w:r>
    </w:p>
    <w:p>
      <w:pPr>
        <w:pStyle w:val="Heading2"/>
        <w:spacing w:after="70" w:before="180"/>
      </w:pPr>
      <w:r>
        <w:rPr>
          <w:rFonts w:ascii="Calibri" w:cs="Calibri" w:eastAsia="Calibri" w:hAnsi="Calibri"/>
          <w:b/>
          <w:bCs/>
          <w:color w:val="042839"/>
          <w:sz w:val="23"/>
          <w:szCs w:val="23"/>
        </w:rPr>
        <w:t xml:space="preserve">10.2  Sale, Sharing, and Opt-Out Signals</w:t>
      </w:r>
    </w:p>
    <w:p>
      <w:pPr>
        <w:spacing w:after="120" w:line="276"/>
      </w:pPr>
      <w:r>
        <w:rPr>
          <w:rFonts w:ascii="Calibri" w:cs="Calibri" w:eastAsia="Calibri" w:hAnsi="Calibri"/>
          <w:color w:val="1a1a1a"/>
          <w:sz w:val="21"/>
          <w:szCs w:val="21"/>
        </w:rPr>
        <w:t xml:space="preserve">Echo 1 Labs does not sell personal data, does not share it for cross-context behavioral advertising, and does not conduct targeted advertising. Because there is no such processing to opt out of, opt-out preference signals (including Global Privacy Control) have no applicable effect on our processing. If our practices change, we will update this Policy and implement the required opt-out mechanisms, including recognition of opt-out preference signals.</w:t>
      </w:r>
    </w:p>
    <w:p>
      <w:pPr>
        <w:pStyle w:val="Heading2"/>
        <w:spacing w:after="70" w:before="180"/>
      </w:pPr>
      <w:r>
        <w:rPr>
          <w:rFonts w:ascii="Calibri" w:cs="Calibri" w:eastAsia="Calibri" w:hAnsi="Calibri"/>
          <w:b/>
          <w:bCs/>
          <w:color w:val="042839"/>
          <w:sz w:val="23"/>
          <w:szCs w:val="23"/>
        </w:rPr>
        <w:t xml:space="preserve">10.3  TRAIGA</w:t>
      </w:r>
    </w:p>
    <w:p>
      <w:pPr>
        <w:spacing w:after="120" w:line="276"/>
      </w:pPr>
      <w:r>
        <w:rPr>
          <w:rFonts w:ascii="Calibri" w:cs="Calibri" w:eastAsia="Calibri" w:hAnsi="Calibri"/>
          <w:color w:val="1a1a1a"/>
          <w:sz w:val="21"/>
          <w:szCs w:val="21"/>
        </w:rPr>
        <w:t xml:space="preserve">Under the Texas Responsible Artificial Intelligence Governance Act (HB 149), Echo 1 Labs does not use AI for the uses the Act prohibits. We maintain AI governance documentation describing our AI systems, their purposes, known limitations, and safeguards, available in summary on request at privacy@echo1labs.com.</w:t>
      </w:r>
    </w:p>
    <w:p>
      <w:pPr>
        <w:pStyle w:val="Heading1"/>
        <w:spacing w:after="130" w:before="300"/>
      </w:pPr>
      <w:r>
        <w:rPr>
          <w:rFonts w:ascii="Calibri" w:cs="Calibri" w:eastAsia="Calibri" w:hAnsi="Calibri"/>
          <w:b/>
          <w:bCs/>
          <w:color w:val="00B4E6"/>
          <w:sz w:val="28"/>
          <w:szCs w:val="28"/>
        </w:rPr>
        <w:t xml:space="preserve">11.  </w:t>
      </w:r>
      <w:r>
        <w:rPr>
          <w:rFonts w:ascii="Calibri" w:cs="Calibri" w:eastAsia="Calibri" w:hAnsi="Calibri"/>
          <w:b/>
          <w:bCs/>
          <w:color w:val="042839"/>
          <w:sz w:val="28"/>
          <w:szCs w:val="28"/>
        </w:rPr>
        <w:t xml:space="preserve">California Rights (CCPA / CPRA)</w:t>
      </w:r>
    </w:p>
    <w:p>
      <w:pPr>
        <w:spacing w:after="120" w:line="276"/>
      </w:pPr>
      <w:r>
        <w:rPr>
          <w:rFonts w:ascii="Calibri" w:cs="Calibri" w:eastAsia="Calibri" w:hAnsi="Calibri"/>
          <w:color w:val="1a1a1a"/>
          <w:sz w:val="21"/>
          <w:szCs w:val="21"/>
        </w:rPr>
        <w:t xml:space="preserve">If you are a California resident, the CCPA/CPRA provides the following rights:</w:t>
      </w:r>
    </w:p>
    <w:p>
      <w:pPr>
        <w:pStyle w:val="ListParagraph"/>
        <w:numPr>
          <w:ilvl w:val="0"/>
          <w:numId w:val="2"/>
        </w:numPr>
        <w:spacing w:after="70" w:line="264"/>
      </w:pPr>
      <w:r>
        <w:rPr>
          <w:rFonts w:ascii="Calibri" w:cs="Calibri" w:eastAsia="Calibri" w:hAnsi="Calibri"/>
          <w:color w:val="1a1a1a"/>
          <w:sz w:val="21"/>
          <w:szCs w:val="21"/>
        </w:rPr>
        <w:t xml:space="preserve">Right to know the categories and specific pieces of personal information we collect.</w:t>
      </w:r>
    </w:p>
    <w:p>
      <w:pPr>
        <w:pStyle w:val="ListParagraph"/>
        <w:numPr>
          <w:ilvl w:val="0"/>
          <w:numId w:val="2"/>
        </w:numPr>
        <w:spacing w:after="70" w:line="264"/>
      </w:pPr>
      <w:r>
        <w:rPr>
          <w:rFonts w:ascii="Calibri" w:cs="Calibri" w:eastAsia="Calibri" w:hAnsi="Calibri"/>
          <w:color w:val="1a1a1a"/>
          <w:sz w:val="21"/>
          <w:szCs w:val="21"/>
        </w:rPr>
        <w:t xml:space="preserve">Right to delete personal information we have collected, subject to exceptions.</w:t>
      </w:r>
    </w:p>
    <w:p>
      <w:pPr>
        <w:pStyle w:val="ListParagraph"/>
        <w:numPr>
          <w:ilvl w:val="0"/>
          <w:numId w:val="2"/>
        </w:numPr>
        <w:spacing w:after="70" w:line="264"/>
      </w:pPr>
      <w:r>
        <w:rPr>
          <w:rFonts w:ascii="Calibri" w:cs="Calibri" w:eastAsia="Calibri" w:hAnsi="Calibri"/>
          <w:color w:val="1a1a1a"/>
          <w:sz w:val="21"/>
          <w:szCs w:val="21"/>
        </w:rPr>
        <w:t xml:space="preserve">Right to correct inaccurate personal information we maintain.</w:t>
      </w:r>
    </w:p>
    <w:p>
      <w:pPr>
        <w:pStyle w:val="ListParagraph"/>
        <w:numPr>
          <w:ilvl w:val="0"/>
          <w:numId w:val="2"/>
        </w:numPr>
        <w:spacing w:after="70" w:line="264"/>
      </w:pPr>
      <w:r>
        <w:rPr>
          <w:rFonts w:ascii="Calibri" w:cs="Calibri" w:eastAsia="Calibri" w:hAnsi="Calibri"/>
          <w:color w:val="1a1a1a"/>
          <w:sz w:val="21"/>
          <w:szCs w:val="21"/>
        </w:rPr>
        <w:t xml:space="preserve">Right to opt out of sale or sharing: we do not sell or share personal information for cross-context behavioral advertising.</w:t>
      </w:r>
    </w:p>
    <w:p>
      <w:pPr>
        <w:pStyle w:val="ListParagraph"/>
        <w:numPr>
          <w:ilvl w:val="0"/>
          <w:numId w:val="2"/>
        </w:numPr>
        <w:spacing w:after="70" w:line="264"/>
      </w:pPr>
      <w:r>
        <w:rPr>
          <w:rFonts w:ascii="Calibri" w:cs="Calibri" w:eastAsia="Calibri" w:hAnsi="Calibri"/>
          <w:color w:val="1a1a1a"/>
          <w:sz w:val="21"/>
          <w:szCs w:val="21"/>
        </w:rPr>
        <w:t xml:space="preserve">Right to limit use of sensitive personal information.</w:t>
      </w:r>
    </w:p>
    <w:p>
      <w:pPr>
        <w:pStyle w:val="ListParagraph"/>
        <w:numPr>
          <w:ilvl w:val="0"/>
          <w:numId w:val="2"/>
        </w:numPr>
        <w:spacing w:after="70" w:line="264"/>
      </w:pPr>
      <w:r>
        <w:rPr>
          <w:rFonts w:ascii="Calibri" w:cs="Calibri" w:eastAsia="Calibri" w:hAnsi="Calibri"/>
          <w:color w:val="1a1a1a"/>
          <w:sz w:val="21"/>
          <w:szCs w:val="21"/>
        </w:rPr>
        <w:t xml:space="preserve">Right to non-discrimination.</w:t>
      </w:r>
    </w:p>
    <w:p>
      <w:pPr>
        <w:spacing w:after="120" w:line="276"/>
      </w:pPr>
      <w:r>
        <w:rPr>
          <w:rFonts w:ascii="Calibri" w:cs="Calibri" w:eastAsia="Calibri" w:hAnsi="Calibri"/>
          <w:b/>
          <w:bCs/>
          <w:color w:val="1a1a1a"/>
          <w:sz w:val="21"/>
          <w:szCs w:val="21"/>
        </w:rPr>
        <w:t xml:space="preserve">Sensitive personal information (SPI). </w:t>
      </w:r>
      <w:r>
        <w:rPr>
          <w:rFonts w:ascii="Calibri" w:cs="Calibri" w:eastAsia="Calibri" w:hAnsi="Calibri"/>
          <w:color w:val="1a1a1a"/>
          <w:sz w:val="21"/>
          <w:szCs w:val="21"/>
        </w:rPr>
        <w:t xml:space="preserve">We may collect account credentials (log-in and password) and financial-account information contained in Client Data, which are "sensitive personal information" under the CPRA. We use SPI only to provide the Platform and for purposes permitted without a right to limit; we do not use or disclose SPI to infer characteristics about you. You may nonetheless request that we limit our use of SPI at privacy@echo1labs.com.</w:t>
      </w:r>
    </w:p>
    <w:p>
      <w:pPr>
        <w:spacing w:after="120" w:line="276"/>
      </w:pPr>
      <w:r>
        <w:rPr>
          <w:rFonts w:ascii="Calibri" w:cs="Calibri" w:eastAsia="Calibri" w:hAnsi="Calibri"/>
          <w:color w:val="1a1a1a"/>
          <w:sz w:val="21"/>
          <w:szCs w:val="21"/>
        </w:rPr>
        <w:t xml:space="preserve">Because Echo 1 Labs operates exclusively online with a direct relationship with its consumers, you may submit California requests by email to privacy@echo1labs.com. We respond within 45 days (extendable with notice).</w:t>
      </w:r>
    </w:p>
    <w:p>
      <w:pPr>
        <w:pStyle w:val="Heading1"/>
        <w:spacing w:after="130" w:before="300"/>
      </w:pPr>
      <w:r>
        <w:rPr>
          <w:rFonts w:ascii="Calibri" w:cs="Calibri" w:eastAsia="Calibri" w:hAnsi="Calibri"/>
          <w:b/>
          <w:bCs/>
          <w:color w:val="00B4E6"/>
          <w:sz w:val="28"/>
          <w:szCs w:val="28"/>
        </w:rPr>
        <w:t xml:space="preserve">12.  </w:t>
      </w:r>
      <w:r>
        <w:rPr>
          <w:rFonts w:ascii="Calibri" w:cs="Calibri" w:eastAsia="Calibri" w:hAnsi="Calibri"/>
          <w:b/>
          <w:bCs/>
          <w:color w:val="042839"/>
          <w:sz w:val="28"/>
          <w:szCs w:val="28"/>
        </w:rPr>
        <w:t xml:space="preserve">EEA and UK Rights (GDPR / UK GDPR)</w:t>
      </w:r>
    </w:p>
    <w:p>
      <w:pPr>
        <w:pStyle w:val="ListParagraph"/>
        <w:numPr>
          <w:ilvl w:val="0"/>
          <w:numId w:val="2"/>
        </w:numPr>
        <w:spacing w:after="70" w:line="264"/>
      </w:pPr>
      <w:r>
        <w:rPr>
          <w:rFonts w:ascii="Calibri" w:cs="Calibri" w:eastAsia="Calibri" w:hAnsi="Calibri"/>
          <w:color w:val="1a1a1a"/>
          <w:sz w:val="21"/>
          <w:szCs w:val="21"/>
        </w:rPr>
        <w:t xml:space="preserve">Right to object to processing based on legitimate interests.</w:t>
      </w:r>
    </w:p>
    <w:p>
      <w:pPr>
        <w:pStyle w:val="ListParagraph"/>
        <w:numPr>
          <w:ilvl w:val="0"/>
          <w:numId w:val="2"/>
        </w:numPr>
        <w:spacing w:after="70" w:line="264"/>
      </w:pPr>
      <w:r>
        <w:rPr>
          <w:rFonts w:ascii="Calibri" w:cs="Calibri" w:eastAsia="Calibri" w:hAnsi="Calibri"/>
          <w:color w:val="1a1a1a"/>
          <w:sz w:val="21"/>
          <w:szCs w:val="21"/>
        </w:rPr>
        <w:t xml:space="preserve">Right to erasure ("right to be forgotten") in specified circumstances.</w:t>
      </w:r>
    </w:p>
    <w:p>
      <w:pPr>
        <w:pStyle w:val="ListParagraph"/>
        <w:numPr>
          <w:ilvl w:val="0"/>
          <w:numId w:val="2"/>
        </w:numPr>
        <w:spacing w:after="70" w:line="264"/>
      </w:pPr>
      <w:r>
        <w:rPr>
          <w:rFonts w:ascii="Calibri" w:cs="Calibri" w:eastAsia="Calibri" w:hAnsi="Calibri"/>
          <w:color w:val="1a1a1a"/>
          <w:sz w:val="21"/>
          <w:szCs w:val="21"/>
        </w:rPr>
        <w:t xml:space="preserve">Right to restriction of processing.</w:t>
      </w:r>
    </w:p>
    <w:p>
      <w:pPr>
        <w:pStyle w:val="ListParagraph"/>
        <w:numPr>
          <w:ilvl w:val="0"/>
          <w:numId w:val="2"/>
        </w:numPr>
        <w:spacing w:after="70" w:line="264"/>
      </w:pPr>
      <w:r>
        <w:rPr>
          <w:rFonts w:ascii="Calibri" w:cs="Calibri" w:eastAsia="Calibri" w:hAnsi="Calibri"/>
          <w:color w:val="1a1a1a"/>
          <w:sz w:val="21"/>
          <w:szCs w:val="21"/>
        </w:rPr>
        <w:t xml:space="preserve">Right to lodge a complaint with your local data protection authority.</w:t>
      </w:r>
    </w:p>
    <w:p>
      <w:pPr>
        <w:spacing w:after="120" w:line="276"/>
      </w:pPr>
      <w:r>
        <w:rPr>
          <w:rFonts w:ascii="Calibri" w:cs="Calibri" w:eastAsia="Calibri" w:hAnsi="Calibri"/>
          <w:color w:val="1a1a1a"/>
          <w:sz w:val="21"/>
          <w:szCs w:val="21"/>
        </w:rPr>
        <w:t xml:space="preserve">We respond to data-subject requests within one month, extendable by two further months for complex requests with notice. For transfers of EEA/UK personal data to the United States, we rely on the EU Standard Contractual Clauses and the UK International Data Transfer Agreement; contact privacy@echo1labs.com to obtain copies.</w:t>
      </w:r>
    </w:p>
    <w:p>
      <w:pPr>
        <w:spacing w:after="120" w:line="276"/>
      </w:pPr>
      <w:r>
        <w:rPr>
          <w:rFonts w:ascii="Calibri" w:cs="Calibri" w:eastAsia="Calibri" w:hAnsi="Calibri"/>
          <w:b/>
          <w:bCs/>
          <w:color w:val="1a1a1a"/>
          <w:sz w:val="21"/>
          <w:szCs w:val="21"/>
        </w:rPr>
        <w:t xml:space="preserve">EEA/UK contact and representative. </w:t>
      </w:r>
      <w:r>
        <w:rPr>
          <w:rFonts w:ascii="Calibri" w:cs="Calibri" w:eastAsia="Calibri" w:hAnsi="Calibri"/>
          <w:color w:val="1a1a1a"/>
          <w:sz w:val="21"/>
          <w:szCs w:val="21"/>
        </w:rPr>
        <w:t xml:space="preserve">EEA and UK data-subject inquiries may be directed to Josh Meunier at josh@echo1labs.com. Where Echo 1 Labs is required under GDPR Article 27 to designate a representative established in the EEA or the UK, we will appoint a qualifying in-region representative before offering the Platform to individuals in those territories, and will publish its contact details here.</w:t>
      </w:r>
    </w:p>
    <w:p>
      <w:r>
        <w:br w:type="page"/>
      </w:r>
    </w:p>
    <w:p>
      <w:pPr>
        <w:pStyle w:val="Heading1"/>
        <w:spacing w:after="130" w:before="300"/>
      </w:pPr>
      <w:r>
        <w:rPr>
          <w:rFonts w:ascii="Calibri" w:cs="Calibri" w:eastAsia="Calibri" w:hAnsi="Calibri"/>
          <w:b/>
          <w:bCs/>
          <w:color w:val="00B4E6"/>
          <w:sz w:val="28"/>
          <w:szCs w:val="28"/>
        </w:rPr>
        <w:t xml:space="preserve">13.  </w:t>
      </w:r>
      <w:r>
        <w:rPr>
          <w:rFonts w:ascii="Calibri" w:cs="Calibri" w:eastAsia="Calibri" w:hAnsi="Calibri"/>
          <w:b/>
          <w:bCs/>
          <w:color w:val="042839"/>
          <w:sz w:val="28"/>
          <w:szCs w:val="28"/>
        </w:rPr>
        <w:t xml:space="preserve">Cookies and Tracking Technologies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200"/>
        <w:gridCol w:w="6160"/>
      </w:tblGrid>
      <w:tr>
        <w:trPr>
          <w:tblHeader/>
        </w:trPr>
        <w:tc>
          <w:tcPr>
            <w:tcW w:type="dxa" w:w="32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Cookie Type</w:t>
            </w:r>
          </w:p>
        </w:tc>
        <w:tc>
          <w:tcPr>
            <w:tcW w:type="dxa" w:w="61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Purpose</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Strictly Necessary</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Authentication, session management, and security. Cannot be disabled without breaking the service.</w:t>
            </w:r>
          </w:p>
        </w:tc>
      </w:tr>
      <w:tr>
        <w:tc>
          <w:tcPr>
            <w:tcW w:type="dxa" w:w="32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Functional / Preference</w:t>
            </w:r>
          </w:p>
        </w:tc>
        <w:tc>
          <w:tcPr>
            <w:tcW w:type="dxa" w:w="61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Remembering user preferences, language, and interface settings.</w:t>
            </w:r>
          </w:p>
        </w:tc>
      </w:tr>
      <w:tr>
        <w:tc>
          <w:tcPr>
            <w:tcW w:type="dxa" w:w="3200"/>
            <w:tcMar>
              <w:top w:type="dxa" w:w="60"/>
              <w:left w:type="dxa" w:w="90"/>
              <w:bottom w:type="dxa" w:w="60"/>
              <w:right w:type="dxa" w:w="90"/>
            </w:tcMar>
          </w:tcPr>
          <w:p>
            <w:r>
              <w:rPr>
                <w:rFonts w:ascii="Calibri" w:cs="Calibri" w:eastAsia="Calibri" w:hAnsi="Calibri"/>
                <w:b w:val="false"/>
                <w:bCs w:val="false"/>
                <w:color w:val="1a1a1a"/>
                <w:sz w:val="19"/>
                <w:szCs w:val="19"/>
              </w:rPr>
              <w:t xml:space="preserve">Analytics (first-party)</w:t>
            </w:r>
          </w:p>
        </w:tc>
        <w:tc>
          <w:tcPr>
            <w:tcW w:type="dxa" w:w="6160"/>
            <w:tcMar>
              <w:top w:type="dxa" w:w="60"/>
              <w:left w:type="dxa" w:w="90"/>
              <w:bottom w:type="dxa" w:w="60"/>
              <w:right w:type="dxa" w:w="90"/>
            </w:tcMar>
          </w:tcPr>
          <w:p>
            <w:r>
              <w:rPr>
                <w:rFonts w:ascii="Calibri" w:cs="Calibri" w:eastAsia="Calibri" w:hAnsi="Calibri"/>
                <w:b w:val="false"/>
                <w:bCs w:val="false"/>
                <w:color w:val="1a1a1a"/>
                <w:sz w:val="19"/>
                <w:szCs w:val="19"/>
              </w:rPr>
              <w:t xml:space="preserve">Understanding Platform usage in aggregated, de-identified form using our own AWS infrastructure. We do not use third-party advertising or cross-site tracking cookies.</w:t>
            </w:r>
          </w:p>
        </w:tc>
      </w:tr>
    </w:tbl>
    <w:p>
      <w:pPr>
        <w:spacing w:after="80"/>
      </w:pPr>
    </w:p>
    <w:p>
      <w:pPr>
        <w:spacing w:after="120" w:line="276"/>
      </w:pPr>
      <w:r>
        <w:rPr>
          <w:rFonts w:ascii="Calibri" w:cs="Calibri" w:eastAsia="Calibri" w:hAnsi="Calibri"/>
          <w:color w:val="1a1a1a"/>
          <w:sz w:val="21"/>
          <w:szCs w:val="21"/>
        </w:rPr>
        <w:t xml:space="preserve">You can control cookies through your browser settings. Because we do not sell or share personal information or conduct targeted advertising, opt-out preference signals such as Global Privacy Control and "Do Not Track" have no applicable sale/share to act upon; we do not use tracking that responds to them.</w:t>
      </w:r>
    </w:p>
    <w:p>
      <w:pPr>
        <w:pStyle w:val="Heading1"/>
        <w:spacing w:after="130" w:before="300"/>
      </w:pPr>
      <w:r>
        <w:rPr>
          <w:rFonts w:ascii="Calibri" w:cs="Calibri" w:eastAsia="Calibri" w:hAnsi="Calibri"/>
          <w:b/>
          <w:bCs/>
          <w:color w:val="00B4E6"/>
          <w:sz w:val="28"/>
          <w:szCs w:val="28"/>
        </w:rPr>
        <w:t xml:space="preserve">14.  </w:t>
      </w:r>
      <w:r>
        <w:rPr>
          <w:rFonts w:ascii="Calibri" w:cs="Calibri" w:eastAsia="Calibri" w:hAnsi="Calibri"/>
          <w:b/>
          <w:bCs/>
          <w:color w:val="042839"/>
          <w:sz w:val="28"/>
          <w:szCs w:val="28"/>
        </w:rPr>
        <w:t xml:space="preserve">Children’s Privacy</w:t>
      </w:r>
    </w:p>
    <w:p>
      <w:pPr>
        <w:spacing w:after="120" w:line="276"/>
      </w:pPr>
      <w:r>
        <w:rPr>
          <w:rFonts w:ascii="Calibri" w:cs="Calibri" w:eastAsia="Calibri" w:hAnsi="Calibri"/>
          <w:color w:val="1a1a1a"/>
          <w:sz w:val="21"/>
          <w:szCs w:val="21"/>
        </w:rPr>
        <w:t xml:space="preserve">The Platform is designed for business use by adults and is not directed to individuals under 18. We do not knowingly collect personal information from children. If you believe a child has provided us information, contact privacy@echo1labs.com and we will delete it promptly.</w:t>
      </w:r>
    </w:p>
    <w:p>
      <w:pPr>
        <w:pStyle w:val="Heading1"/>
        <w:spacing w:after="130" w:before="300"/>
      </w:pPr>
      <w:r>
        <w:rPr>
          <w:rFonts w:ascii="Calibri" w:cs="Calibri" w:eastAsia="Calibri" w:hAnsi="Calibri"/>
          <w:b/>
          <w:bCs/>
          <w:color w:val="00B4E6"/>
          <w:sz w:val="28"/>
          <w:szCs w:val="28"/>
        </w:rPr>
        <w:t xml:space="preserve">15.  </w:t>
      </w:r>
      <w:r>
        <w:rPr>
          <w:rFonts w:ascii="Calibri" w:cs="Calibri" w:eastAsia="Calibri" w:hAnsi="Calibri"/>
          <w:b/>
          <w:bCs/>
          <w:color w:val="042839"/>
          <w:sz w:val="28"/>
          <w:szCs w:val="28"/>
        </w:rPr>
        <w:t xml:space="preserve">Third-Party Websites and Services</w:t>
      </w:r>
    </w:p>
    <w:p>
      <w:pPr>
        <w:spacing w:after="120" w:line="276"/>
      </w:pPr>
      <w:r>
        <w:rPr>
          <w:rFonts w:ascii="Calibri" w:cs="Calibri" w:eastAsia="Calibri" w:hAnsi="Calibri"/>
          <w:color w:val="1a1a1a"/>
          <w:sz w:val="21"/>
          <w:szCs w:val="21"/>
        </w:rPr>
        <w:t xml:space="preserve">The Platform may link to or integrate with third-party services (including QuickBooks Online, Slack, and Airtable). This Policy does not apply to third-party services. We encourage you to review their privacy policies independently. Echo 1 Labs is not responsible for the privacy practices of third-party services.</w:t>
      </w:r>
    </w:p>
    <w:p>
      <w:r>
        <w:br w:type="page"/>
      </w:r>
    </w:p>
    <w:p>
      <w:pPr>
        <w:pStyle w:val="Heading1"/>
        <w:spacing w:after="130" w:before="300"/>
      </w:pPr>
      <w:r>
        <w:rPr>
          <w:rFonts w:ascii="Calibri" w:cs="Calibri" w:eastAsia="Calibri" w:hAnsi="Calibri"/>
          <w:b/>
          <w:bCs/>
          <w:color w:val="00B4E6"/>
          <w:sz w:val="28"/>
          <w:szCs w:val="28"/>
        </w:rPr>
        <w:t xml:space="preserve">16.  </w:t>
      </w:r>
      <w:r>
        <w:rPr>
          <w:rFonts w:ascii="Calibri" w:cs="Calibri" w:eastAsia="Calibri" w:hAnsi="Calibri"/>
          <w:b/>
          <w:bCs/>
          <w:color w:val="042839"/>
          <w:sz w:val="28"/>
          <w:szCs w:val="28"/>
        </w:rPr>
        <w:t xml:space="preserve">Changes to This Policy</w:t>
      </w:r>
    </w:p>
    <w:p>
      <w:pPr>
        <w:spacing w:after="120" w:line="276"/>
      </w:pPr>
      <w:r>
        <w:rPr>
          <w:rFonts w:ascii="Calibri" w:cs="Calibri" w:eastAsia="Calibri" w:hAnsi="Calibri"/>
          <w:color w:val="1a1a1a"/>
          <w:sz w:val="21"/>
          <w:szCs w:val="21"/>
        </w:rPr>
        <w:t xml:space="preserve">We may update this Policy to reflect changes in our practices, Platform features, or applicable law. When we make material changes, we will update the "Effective" date, provide in-Platform notification to Customers, and, where required, seek affirmative consent. Continued use of the Platform after the effective date constitutes acceptance.</w:t>
      </w:r>
    </w:p>
    <w:p>
      <w:pPr>
        <w:pStyle w:val="Heading1"/>
        <w:spacing w:after="130" w:before="300"/>
      </w:pPr>
      <w:r>
        <w:rPr>
          <w:rFonts w:ascii="Calibri" w:cs="Calibri" w:eastAsia="Calibri" w:hAnsi="Calibri"/>
          <w:b/>
          <w:bCs/>
          <w:color w:val="00B4E6"/>
          <w:sz w:val="28"/>
          <w:szCs w:val="28"/>
        </w:rPr>
        <w:t xml:space="preserve">17.  </w:t>
      </w:r>
      <w:r>
        <w:rPr>
          <w:rFonts w:ascii="Calibri" w:cs="Calibri" w:eastAsia="Calibri" w:hAnsi="Calibri"/>
          <w:b/>
          <w:bCs/>
          <w:color w:val="042839"/>
          <w:sz w:val="28"/>
          <w:szCs w:val="28"/>
        </w:rPr>
        <w:t xml:space="preserve">Contact and Data Rights Requests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2600"/>
        <w:gridCol w:w="6760"/>
      </w:tblGrid>
      <w:tr>
        <w:trPr>
          <w:tblHeader/>
        </w:trPr>
        <w:tc>
          <w:tcPr>
            <w:tcW w:type="dxa" w:w="26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Channel</w:t>
            </w:r>
          </w:p>
        </w:tc>
        <w:tc>
          <w:tcPr>
            <w:tcW w:type="dxa" w:w="67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Detail</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Privacy Inquiries</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privacy@echo1labs.com</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Legal / General Counsel</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legal@echo1labs.com</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EEA / UK Contact</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Josh Meunier — josh@echo1labs.com</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Registered Address</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Mingma Inc (d/b/a Echo 1 Labs), 103 Meyersville Rd, Cuero, TX 77954</w:t>
            </w:r>
          </w:p>
        </w:tc>
      </w:tr>
    </w:tbl>
    <w:p>
      <w:pPr>
        <w:spacing w:after="8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Echo 1 Labs — Privacy Policy v2.0 · Draft for attorney review · </w:t>
    </w:r>
    <w:r>
      <w:rPr>
        <w:rFonts w:ascii="Calibri" w:cs="Calibri" w:eastAsia="Calibri" w:hAnsi="Calibri"/>
        <w:color w:val="55555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Echo 1 Labs</dc:creator>
  <cp:lastModifiedBy>Un-named</cp:lastModifiedBy>
  <cp:revision>1</cp:revision>
  <dcterms:created xsi:type="dcterms:W3CDTF">2026-07-29T18:08:08.093Z</dcterms:created>
  <dcterms:modified xsi:type="dcterms:W3CDTF">2026-07-29T18:08:08.094Z</dcterms:modified>
</cp:coreProperties>
</file>

<file path=docProps/custom.xml><?xml version="1.0" encoding="utf-8"?>
<Properties xmlns="http://schemas.openxmlformats.org/officeDocument/2006/custom-properties" xmlns:vt="http://schemas.openxmlformats.org/officeDocument/2006/docPropsVTypes"/>
</file>