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B4E6"/>
          <w:spacing w:val="40"/>
          <w:sz w:val="22"/>
          <w:szCs w:val="22"/>
        </w:rPr>
        <w:t xml:space="preserve">ECHO 1 LABS</w:t>
      </w:r>
    </w:p>
    <w:p>
      <w:pPr>
        <w:spacing w:after="40"/>
      </w:pPr>
      <w:r>
        <w:rPr>
          <w:rFonts w:ascii="Calibri" w:cs="Calibri" w:eastAsia="Calibri" w:hAnsi="Calibri"/>
          <w:b/>
          <w:bCs/>
          <w:color w:val="042839"/>
          <w:sz w:val="44"/>
          <w:szCs w:val="44"/>
        </w:rPr>
        <w:t xml:space="preserve">Terms of Service</w:t>
      </w:r>
    </w:p>
    <w:p>
      <w:pPr>
        <w:spacing w:after="60"/>
      </w:pPr>
      <w:r>
        <w:rPr>
          <w:rFonts w:ascii="Calibri" w:cs="Calibri" w:eastAsia="Calibri" w:hAnsi="Calibri"/>
          <w:color w:val="555555"/>
          <w:sz w:val="20"/>
          <w:szCs w:val="20"/>
        </w:rPr>
        <w:t xml:space="preserve">Version 2.0  ·  Effective July 29, 2026  ·  Mingma Inc (d/b/a Echo 1 Labs)  ·  Governed by Texas Law</w:t>
      </w:r>
    </w:p>
    <w:p>
      <w:pPr>
        <w:pBdr>
          <w:bottom w:val="single" w:color="00B4E6" w:sz="6"/>
        </w:pBdr>
        <w:spacing w:after="120" w:before="60"/>
      </w:pPr>
      <w:r>
        <w:rPr>
          <w:sz w:val="2"/>
          <w:szCs w:val="2"/>
        </w:rPr>
        <w:t xml:space="preserve"/>
      </w:r>
    </w:p>
    <w:p>
      <w:pPr>
        <w:pBdr>
          <w:left w:val="single" w:color="00B4E6" w:sz="18"/>
        </w:pBdr>
        <w:shd w:fill="EAF6FB" w:val="clear"/>
        <w:spacing w:after="120" w:before="80"/>
      </w:pPr>
      <w:r>
        <w:rPr>
          <w:rFonts w:ascii="Calibri" w:cs="Calibri" w:eastAsia="Calibri" w:hAnsi="Calibri"/>
          <w:i/>
          <w:iCs/>
          <w:color w:val="0B3A4A"/>
          <w:sz w:val="18"/>
          <w:szCs w:val="18"/>
        </w:rPr>
        <w:t xml:space="preserve">DRAFT v2 FOR ATTORNEY REVIEW. Confirm entity name and state of incorporation, finalize Exhibit A (AI Policy Guardrails) and the DPA, and confirm the insurance limits in Section 16 match the policies actually bound. Remove this notice before publishing.</w:t>
      </w:r>
    </w:p>
    <w:p>
      <w:pPr>
        <w:pStyle w:val="Heading1"/>
        <w:spacing w:after="130" w:before="300"/>
      </w:pPr>
      <w:r>
        <w:rPr>
          <w:rFonts w:ascii="Calibri" w:cs="Calibri" w:eastAsia="Calibri" w:hAnsi="Calibri"/>
          <w:b/>
          <w:bCs/>
          <w:color w:val="00B4E6"/>
          <w:sz w:val="28"/>
          <w:szCs w:val="28"/>
        </w:rPr>
        <w:t xml:space="preserve">01.  </w:t>
      </w:r>
      <w:r>
        <w:rPr>
          <w:rFonts w:ascii="Calibri" w:cs="Calibri" w:eastAsia="Calibri" w:hAnsi="Calibri"/>
          <w:b/>
          <w:bCs/>
          <w:color w:val="042839"/>
          <w:sz w:val="28"/>
          <w:szCs w:val="28"/>
        </w:rPr>
        <w:t xml:space="preserve">Acceptance and Formation of Agreement</w:t>
      </w:r>
    </w:p>
    <w:p>
      <w:pPr>
        <w:pStyle w:val="Heading2"/>
        <w:spacing w:after="70" w:before="180"/>
      </w:pPr>
      <w:r>
        <w:rPr>
          <w:rFonts w:ascii="Calibri" w:cs="Calibri" w:eastAsia="Calibri" w:hAnsi="Calibri"/>
          <w:b/>
          <w:bCs/>
          <w:color w:val="042839"/>
          <w:sz w:val="23"/>
          <w:szCs w:val="23"/>
        </w:rPr>
        <w:t xml:space="preserve">1.1  Agreement Formation</w:t>
      </w:r>
    </w:p>
    <w:p>
      <w:pPr>
        <w:spacing w:after="120" w:line="276"/>
      </w:pPr>
      <w:r>
        <w:rPr>
          <w:rFonts w:ascii="Calibri" w:cs="Calibri" w:eastAsia="Calibri" w:hAnsi="Calibri"/>
          <w:color w:val="1a1a1a"/>
          <w:sz w:val="21"/>
          <w:szCs w:val="21"/>
        </w:rPr>
        <w:t xml:space="preserve">These Terms of Service ("Terms" or "Agreement") constitute a legally binding contract between Mingma Inc, a corporation doing business as Echo 1 Labs ("Echo 1 Labs," "Company," "we," "us," or "our"), and you ("Customer," "Client," "Subscriber," or "you"), whether acting individually or on behalf of an entity, governing your access to and use of the Echo 1 Labs AI-driven business lifecycle management Platform and all related products and services.</w:t>
      </w:r>
    </w:p>
    <w:p>
      <w:pPr>
        <w:pStyle w:val="Heading2"/>
        <w:spacing w:after="70" w:before="180"/>
      </w:pPr>
      <w:r>
        <w:rPr>
          <w:rFonts w:ascii="Calibri" w:cs="Calibri" w:eastAsia="Calibri" w:hAnsi="Calibri"/>
          <w:b/>
          <w:bCs/>
          <w:color w:val="042839"/>
          <w:sz w:val="23"/>
          <w:szCs w:val="23"/>
        </w:rPr>
        <w:t xml:space="preserve">1.2  Acceptance</w:t>
      </w:r>
    </w:p>
    <w:p>
      <w:pPr>
        <w:spacing w:after="120" w:line="276"/>
      </w:pPr>
      <w:r>
        <w:rPr>
          <w:rFonts w:ascii="Calibri" w:cs="Calibri" w:eastAsia="Calibri" w:hAnsi="Calibri"/>
          <w:color w:val="1a1a1a"/>
          <w:sz w:val="21"/>
          <w:szCs w:val="21"/>
        </w:rPr>
        <w:t xml:space="preserve">You enter into this Agreement by the earliest of: (a) clicking "I Accept" or a similar button; (b) creating a user account or Tenant on the Platform; (c) accessing or using any feature of the Platform; or (d) executing an Order Form or SOW referencing these Terms. If you do not agree, do not access or use the Platform.</w:t>
      </w:r>
    </w:p>
    <w:p>
      <w:pPr>
        <w:pStyle w:val="Heading2"/>
        <w:spacing w:after="70" w:before="180"/>
      </w:pPr>
      <w:r>
        <w:rPr>
          <w:rFonts w:ascii="Calibri" w:cs="Calibri" w:eastAsia="Calibri" w:hAnsi="Calibri"/>
          <w:b/>
          <w:bCs/>
          <w:color w:val="042839"/>
          <w:sz w:val="23"/>
          <w:szCs w:val="23"/>
        </w:rPr>
        <w:t xml:space="preserve">1.3  Authority to Bind an Entity</w:t>
      </w:r>
    </w:p>
    <w:p>
      <w:pPr>
        <w:spacing w:after="120" w:line="276"/>
      </w:pPr>
      <w:r>
        <w:rPr>
          <w:rFonts w:ascii="Calibri" w:cs="Calibri" w:eastAsia="Calibri" w:hAnsi="Calibri"/>
          <w:color w:val="1a1a1a"/>
          <w:sz w:val="21"/>
          <w:szCs w:val="21"/>
        </w:rPr>
        <w:t xml:space="preserve">If you accept on behalf of a legal entity, you represent that you are authorized to bind that entity. "You" and "Customer" then refer to that entity.</w:t>
      </w:r>
    </w:p>
    <w:p>
      <w:pPr>
        <w:pStyle w:val="Heading1"/>
        <w:spacing w:after="130" w:before="300"/>
      </w:pPr>
      <w:r>
        <w:rPr>
          <w:rFonts w:ascii="Calibri" w:cs="Calibri" w:eastAsia="Calibri" w:hAnsi="Calibri"/>
          <w:b/>
          <w:bCs/>
          <w:color w:val="00B4E6"/>
          <w:sz w:val="28"/>
          <w:szCs w:val="28"/>
        </w:rPr>
        <w:t xml:space="preserve">02.  </w:t>
      </w:r>
      <w:r>
        <w:rPr>
          <w:rFonts w:ascii="Calibri" w:cs="Calibri" w:eastAsia="Calibri" w:hAnsi="Calibri"/>
          <w:b/>
          <w:bCs/>
          <w:color w:val="042839"/>
          <w:sz w:val="28"/>
          <w:szCs w:val="28"/>
        </w:rPr>
        <w:t xml:space="preserve">Definitions</w:t>
      </w:r>
    </w:p>
    <w:tbl>
      <w:tblPr>
        <w:tblW w:type="dxa" w:w="9360"/>
        <w:tblBorders>
          <w:top w:val="single" w:color="BBBBBB" w:sz="4"/>
          <w:left w:val="single" w:color="BBBBBB" w:sz="4"/>
          <w:bottom w:val="single" w:color="BBBBBB" w:sz="4"/>
          <w:right w:val="single" w:color="BBBBBB" w:sz="4"/>
          <w:insideH w:val="single" w:color="CCCCCC" w:sz="2"/>
          <w:insideV w:val="single" w:color="CCCCCC" w:sz="2"/>
        </w:tblBorders>
      </w:tblPr>
      <w:tblGrid>
        <w:gridCol w:w="2600"/>
        <w:gridCol w:w="6760"/>
      </w:tblGrid>
      <w:tr>
        <w:trPr>
          <w:tblHeader/>
        </w:trPr>
        <w:tc>
          <w:tcPr>
            <w:tcW w:type="dxa" w:w="260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Term</w:t>
            </w:r>
          </w:p>
        </w:tc>
        <w:tc>
          <w:tcPr>
            <w:tcW w:type="dxa" w:w="676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Definition</w:t>
            </w:r>
          </w:p>
        </w:tc>
      </w:tr>
      <w:tr>
        <w:tc>
          <w:tcPr>
            <w:tcW w:type="dxa" w:w="2600"/>
            <w:tcMar>
              <w:top w:type="dxa" w:w="60"/>
              <w:left w:type="dxa" w:w="90"/>
              <w:bottom w:type="dxa" w:w="60"/>
              <w:right w:type="dxa" w:w="90"/>
            </w:tcMar>
          </w:tcPr>
          <w:p>
            <w:r>
              <w:rPr>
                <w:rFonts w:ascii="Calibri" w:cs="Calibri" w:eastAsia="Calibri" w:hAnsi="Calibri"/>
                <w:b w:val="false"/>
                <w:bCs w:val="false"/>
                <w:color w:val="1a1a1a"/>
                <w:sz w:val="19"/>
                <w:szCs w:val="19"/>
              </w:rPr>
              <w:t xml:space="preserve">"AI Agent"</w:t>
            </w:r>
          </w:p>
        </w:tc>
        <w:tc>
          <w:tcPr>
            <w:tcW w:type="dxa" w:w="6760"/>
            <w:tcMar>
              <w:top w:type="dxa" w:w="60"/>
              <w:left w:type="dxa" w:w="90"/>
              <w:bottom w:type="dxa" w:w="60"/>
              <w:right w:type="dxa" w:w="90"/>
            </w:tcMar>
          </w:tcPr>
          <w:p>
            <w:r>
              <w:rPr>
                <w:rFonts w:ascii="Calibri" w:cs="Calibri" w:eastAsia="Calibri" w:hAnsi="Calibri"/>
                <w:b w:val="false"/>
                <w:bCs w:val="false"/>
                <w:color w:val="1a1a1a"/>
                <w:sz w:val="19"/>
                <w:szCs w:val="19"/>
              </w:rPr>
              <w:t xml:space="preserve">A Platform component that autonomously executes tasks using AI/ML models, subject to Policy Guardrails and HITL requirements.</w:t>
            </w:r>
          </w:p>
        </w:tc>
      </w:tr>
      <w:tr>
        <w:tc>
          <w:tcPr>
            <w:tcW w:type="dxa" w:w="26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"AI Outputs"</w:t>
            </w:r>
          </w:p>
        </w:tc>
        <w:tc>
          <w:tcPr>
            <w:tcW w:type="dxa" w:w="67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All text, data, analysis, recommendations, code, or other content generated by AI Agents or AI-assisted features.</w:t>
            </w:r>
          </w:p>
        </w:tc>
      </w:tr>
      <w:tr>
        <w:tc>
          <w:tcPr>
            <w:tcW w:type="dxa" w:w="2600"/>
            <w:tcMar>
              <w:top w:type="dxa" w:w="60"/>
              <w:left w:type="dxa" w:w="90"/>
              <w:bottom w:type="dxa" w:w="60"/>
              <w:right w:type="dxa" w:w="90"/>
            </w:tcMar>
          </w:tcPr>
          <w:p>
            <w:r>
              <w:rPr>
                <w:rFonts w:ascii="Calibri" w:cs="Calibri" w:eastAsia="Calibri" w:hAnsi="Calibri"/>
                <w:b w:val="false"/>
                <w:bCs w:val="false"/>
                <w:color w:val="1a1a1a"/>
                <w:sz w:val="19"/>
                <w:szCs w:val="19"/>
              </w:rPr>
              <w:t xml:space="preserve">"Authorized User"</w:t>
            </w:r>
          </w:p>
        </w:tc>
        <w:tc>
          <w:tcPr>
            <w:tcW w:type="dxa" w:w="6760"/>
            <w:tcMar>
              <w:top w:type="dxa" w:w="60"/>
              <w:left w:type="dxa" w:w="90"/>
              <w:bottom w:type="dxa" w:w="60"/>
              <w:right w:type="dxa" w:w="90"/>
            </w:tcMar>
          </w:tcPr>
          <w:p>
            <w:r>
              <w:rPr>
                <w:rFonts w:ascii="Calibri" w:cs="Calibri" w:eastAsia="Calibri" w:hAnsi="Calibri"/>
                <w:b w:val="false"/>
                <w:bCs w:val="false"/>
                <w:color w:val="1a1a1a"/>
                <w:sz w:val="19"/>
                <w:szCs w:val="19"/>
              </w:rPr>
              <w:t xml:space="preserve">Any employee, contractor, or agent of Customer authorized to access the Platform under Customer’s account.</w:t>
            </w:r>
          </w:p>
        </w:tc>
      </w:tr>
      <w:tr>
        <w:tc>
          <w:tcPr>
            <w:tcW w:type="dxa" w:w="26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"Client Data"</w:t>
            </w:r>
          </w:p>
        </w:tc>
        <w:tc>
          <w:tcPr>
            <w:tcW w:type="dxa" w:w="67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All data submitted by Customer or Authorized Users to the Platform, including financial records and personal data.</w:t>
            </w:r>
          </w:p>
        </w:tc>
      </w:tr>
      <w:tr>
        <w:tc>
          <w:tcPr>
            <w:tcW w:type="dxa" w:w="2600"/>
            <w:tcMar>
              <w:top w:type="dxa" w:w="60"/>
              <w:left w:type="dxa" w:w="90"/>
              <w:bottom w:type="dxa" w:w="60"/>
              <w:right w:type="dxa" w:w="90"/>
            </w:tcMar>
          </w:tcPr>
          <w:p>
            <w:r>
              <w:rPr>
                <w:rFonts w:ascii="Calibri" w:cs="Calibri" w:eastAsia="Calibri" w:hAnsi="Calibri"/>
                <w:b w:val="false"/>
                <w:bCs w:val="false"/>
                <w:color w:val="1a1a1a"/>
                <w:sz w:val="19"/>
                <w:szCs w:val="19"/>
              </w:rPr>
              <w:t xml:space="preserve">"Confidential Information"</w:t>
            </w:r>
          </w:p>
        </w:tc>
        <w:tc>
          <w:tcPr>
            <w:tcW w:type="dxa" w:w="6760"/>
            <w:tcMar>
              <w:top w:type="dxa" w:w="60"/>
              <w:left w:type="dxa" w:w="90"/>
              <w:bottom w:type="dxa" w:w="60"/>
              <w:right w:type="dxa" w:w="90"/>
            </w:tcMar>
          </w:tcPr>
          <w:p>
            <w:r>
              <w:rPr>
                <w:rFonts w:ascii="Calibri" w:cs="Calibri" w:eastAsia="Calibri" w:hAnsi="Calibri"/>
                <w:b w:val="false"/>
                <w:bCs w:val="false"/>
                <w:color w:val="1a1a1a"/>
                <w:sz w:val="19"/>
                <w:szCs w:val="19"/>
              </w:rPr>
              <w:t xml:space="preserve">Non-public information disclosed by one party to the other that is marked confidential or that a reasonable person would understand to be confidential, including Client Data, pricing, and the Platform’s non-public features.</w:t>
            </w:r>
          </w:p>
        </w:tc>
      </w:tr>
      <w:tr>
        <w:tc>
          <w:tcPr>
            <w:tcW w:type="dxa" w:w="26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"Consequential Decision"</w:t>
            </w:r>
          </w:p>
        </w:tc>
        <w:tc>
          <w:tcPr>
            <w:tcW w:type="dxa" w:w="67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Any action that, if erroneous, could cause material financial loss, legal liability, reputational harm, or operational disruption. Requires Human Sign-Off.</w:t>
            </w:r>
          </w:p>
        </w:tc>
      </w:tr>
      <w:tr>
        <w:tc>
          <w:tcPr>
            <w:tcW w:type="dxa" w:w="2600"/>
            <w:tcMar>
              <w:top w:type="dxa" w:w="60"/>
              <w:left w:type="dxa" w:w="90"/>
              <w:bottom w:type="dxa" w:w="60"/>
              <w:right w:type="dxa" w:w="90"/>
            </w:tcMar>
          </w:tcPr>
          <w:p>
            <w:r>
              <w:rPr>
                <w:rFonts w:ascii="Calibri" w:cs="Calibri" w:eastAsia="Calibri" w:hAnsi="Calibri"/>
                <w:b w:val="false"/>
                <w:bCs w:val="false"/>
                <w:color w:val="1a1a1a"/>
                <w:sz w:val="19"/>
                <w:szCs w:val="19"/>
              </w:rPr>
              <w:t xml:space="preserve">"DPA"</w:t>
            </w:r>
          </w:p>
        </w:tc>
        <w:tc>
          <w:tcPr>
            <w:tcW w:type="dxa" w:w="6760"/>
            <w:tcMar>
              <w:top w:type="dxa" w:w="60"/>
              <w:left w:type="dxa" w:w="90"/>
              <w:bottom w:type="dxa" w:w="60"/>
              <w:right w:type="dxa" w:w="90"/>
            </w:tcMar>
          </w:tcPr>
          <w:p>
            <w:r>
              <w:rPr>
                <w:rFonts w:ascii="Calibri" w:cs="Calibri" w:eastAsia="Calibri" w:hAnsi="Calibri"/>
                <w:b w:val="false"/>
                <w:bCs w:val="false"/>
                <w:color w:val="1a1a1a"/>
                <w:sz w:val="19"/>
                <w:szCs w:val="19"/>
              </w:rPr>
              <w:t xml:space="preserve">The Data Processing Addendum between the parties, incorporated by reference into this Agreement.</w:t>
            </w:r>
          </w:p>
        </w:tc>
      </w:tr>
      <w:tr>
        <w:tc>
          <w:tcPr>
            <w:tcW w:type="dxa" w:w="26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"Documentation"</w:t>
            </w:r>
          </w:p>
        </w:tc>
        <w:tc>
          <w:tcPr>
            <w:tcW w:type="dxa" w:w="67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The user guides, specifications, and materials Echo 1 Labs makes available describing the Platform’s features and permitted use.</w:t>
            </w:r>
          </w:p>
        </w:tc>
      </w:tr>
      <w:tr>
        <w:tc>
          <w:tcPr>
            <w:tcW w:type="dxa" w:w="2600"/>
            <w:tcMar>
              <w:top w:type="dxa" w:w="60"/>
              <w:left w:type="dxa" w:w="90"/>
              <w:bottom w:type="dxa" w:w="60"/>
              <w:right w:type="dxa" w:w="90"/>
            </w:tcMar>
          </w:tcPr>
          <w:p>
            <w:r>
              <w:rPr>
                <w:rFonts w:ascii="Calibri" w:cs="Calibri" w:eastAsia="Calibri" w:hAnsi="Calibri"/>
                <w:b w:val="false"/>
                <w:bCs w:val="false"/>
                <w:color w:val="1a1a1a"/>
                <w:sz w:val="19"/>
                <w:szCs w:val="19"/>
              </w:rPr>
              <w:t xml:space="preserve">"Feedback"</w:t>
            </w:r>
          </w:p>
        </w:tc>
        <w:tc>
          <w:tcPr>
            <w:tcW w:type="dxa" w:w="6760"/>
            <w:tcMar>
              <w:top w:type="dxa" w:w="60"/>
              <w:left w:type="dxa" w:w="90"/>
              <w:bottom w:type="dxa" w:w="60"/>
              <w:right w:type="dxa" w:w="90"/>
            </w:tcMar>
          </w:tcPr>
          <w:p>
            <w:r>
              <w:rPr>
                <w:rFonts w:ascii="Calibri" w:cs="Calibri" w:eastAsia="Calibri" w:hAnsi="Calibri"/>
                <w:b w:val="false"/>
                <w:bCs w:val="false"/>
                <w:color w:val="1a1a1a"/>
                <w:sz w:val="19"/>
                <w:szCs w:val="19"/>
              </w:rPr>
              <w:t xml:space="preserve">Suggestions, feature requests, or other input Customer provides about the Platform.</w:t>
            </w:r>
          </w:p>
        </w:tc>
      </w:tr>
      <w:tr>
        <w:tc>
          <w:tcPr>
            <w:tcW w:type="dxa" w:w="26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"HITL"</w:t>
            </w:r>
          </w:p>
        </w:tc>
        <w:tc>
          <w:tcPr>
            <w:tcW w:type="dxa" w:w="67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Human-in-the-Loop: the mandatory process by which an Authorized User reviews, approves, modifies, or rejects an AI Output before it takes effect.</w:t>
            </w:r>
          </w:p>
        </w:tc>
      </w:tr>
      <w:tr>
        <w:tc>
          <w:tcPr>
            <w:tcW w:type="dxa" w:w="2600"/>
            <w:tcMar>
              <w:top w:type="dxa" w:w="60"/>
              <w:left w:type="dxa" w:w="90"/>
              <w:bottom w:type="dxa" w:w="60"/>
              <w:right w:type="dxa" w:w="90"/>
            </w:tcMar>
          </w:tcPr>
          <w:p>
            <w:r>
              <w:rPr>
                <w:rFonts w:ascii="Calibri" w:cs="Calibri" w:eastAsia="Calibri" w:hAnsi="Calibri"/>
                <w:b w:val="false"/>
                <w:bCs w:val="false"/>
                <w:color w:val="1a1a1a"/>
                <w:sz w:val="19"/>
                <w:szCs w:val="19"/>
              </w:rPr>
              <w:t xml:space="preserve">"Order Form" / "SOW"</w:t>
            </w:r>
          </w:p>
        </w:tc>
        <w:tc>
          <w:tcPr>
            <w:tcW w:type="dxa" w:w="6760"/>
            <w:tcMar>
              <w:top w:type="dxa" w:w="60"/>
              <w:left w:type="dxa" w:w="90"/>
              <w:bottom w:type="dxa" w:w="60"/>
              <w:right w:type="dxa" w:w="90"/>
            </w:tcMar>
          </w:tcPr>
          <w:p>
            <w:r>
              <w:rPr>
                <w:rFonts w:ascii="Calibri" w:cs="Calibri" w:eastAsia="Calibri" w:hAnsi="Calibri"/>
                <w:b w:val="false"/>
                <w:bCs w:val="false"/>
                <w:color w:val="1a1a1a"/>
                <w:sz w:val="19"/>
                <w:szCs w:val="19"/>
              </w:rPr>
              <w:t xml:space="preserve">An ordering document or statement of work executed by the parties that references these Terms and specifies products, scope, and fees.</w:t>
            </w:r>
          </w:p>
        </w:tc>
      </w:tr>
      <w:tr>
        <w:tc>
          <w:tcPr>
            <w:tcW w:type="dxa" w:w="26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"Platform"</w:t>
            </w:r>
          </w:p>
        </w:tc>
        <w:tc>
          <w:tcPr>
            <w:tcW w:type="dxa" w:w="67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The Echo 1 Labs AI-driven business lifecycle management SaaS environment, including PRIME/GTM Engine, Ledger, Orbit, Bid Titan, the AI Agent Fleet, and all APIs.</w:t>
            </w:r>
          </w:p>
        </w:tc>
      </w:tr>
      <w:tr>
        <w:tc>
          <w:tcPr>
            <w:tcW w:type="dxa" w:w="2600"/>
            <w:tcMar>
              <w:top w:type="dxa" w:w="60"/>
              <w:left w:type="dxa" w:w="90"/>
              <w:bottom w:type="dxa" w:w="60"/>
              <w:right w:type="dxa" w:w="90"/>
            </w:tcMar>
          </w:tcPr>
          <w:p>
            <w:r>
              <w:rPr>
                <w:rFonts w:ascii="Calibri" w:cs="Calibri" w:eastAsia="Calibri" w:hAnsi="Calibri"/>
                <w:b w:val="false"/>
                <w:bCs w:val="false"/>
                <w:color w:val="1a1a1a"/>
                <w:sz w:val="19"/>
                <w:szCs w:val="19"/>
              </w:rPr>
              <w:t xml:space="preserve">"Policy Guardrails"</w:t>
            </w:r>
          </w:p>
        </w:tc>
        <w:tc>
          <w:tcPr>
            <w:tcW w:type="dxa" w:w="6760"/>
            <w:tcMar>
              <w:top w:type="dxa" w:w="60"/>
              <w:left w:type="dxa" w:w="90"/>
              <w:bottom w:type="dxa" w:w="60"/>
              <w:right w:type="dxa" w:w="90"/>
            </w:tcMar>
          </w:tcPr>
          <w:p>
            <w:r>
              <w:rPr>
                <w:rFonts w:ascii="Calibri" w:cs="Calibri" w:eastAsia="Calibri" w:hAnsi="Calibri"/>
                <w:b w:val="false"/>
                <w:bCs w:val="false"/>
                <w:color w:val="1a1a1a"/>
                <w:sz w:val="19"/>
                <w:szCs w:val="19"/>
              </w:rPr>
              <w:t xml:space="preserve">The pre-defined rules and HITL escalation triggers governing AI Agent autonomy, described in Section 4 and Exhibit A.</w:t>
            </w:r>
          </w:p>
        </w:tc>
      </w:tr>
      <w:tr>
        <w:tc>
          <w:tcPr>
            <w:tcW w:type="dxa" w:w="26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"Sensitive Business Data"</w:t>
            </w:r>
          </w:p>
        </w:tc>
        <w:tc>
          <w:tcPr>
            <w:tcW w:type="dxa" w:w="67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Client Data whose unauthorized disclosure would be materially harmful, including financial records, customer lists, pricing, trade secrets, and personal data.</w:t>
            </w:r>
          </w:p>
        </w:tc>
      </w:tr>
      <w:tr>
        <w:tc>
          <w:tcPr>
            <w:tcW w:type="dxa" w:w="2600"/>
            <w:tcMar>
              <w:top w:type="dxa" w:w="60"/>
              <w:left w:type="dxa" w:w="90"/>
              <w:bottom w:type="dxa" w:w="60"/>
              <w:right w:type="dxa" w:w="90"/>
            </w:tcMar>
          </w:tcPr>
          <w:p>
            <w:r>
              <w:rPr>
                <w:rFonts w:ascii="Calibri" w:cs="Calibri" w:eastAsia="Calibri" w:hAnsi="Calibri"/>
                <w:b w:val="false"/>
                <w:bCs w:val="false"/>
                <w:color w:val="1a1a1a"/>
                <w:sz w:val="19"/>
                <w:szCs w:val="19"/>
              </w:rPr>
              <w:t xml:space="preserve">"Tenant"</w:t>
            </w:r>
          </w:p>
        </w:tc>
        <w:tc>
          <w:tcPr>
            <w:tcW w:type="dxa" w:w="6760"/>
            <w:tcMar>
              <w:top w:type="dxa" w:w="60"/>
              <w:left w:type="dxa" w:w="90"/>
              <w:bottom w:type="dxa" w:w="60"/>
              <w:right w:type="dxa" w:w="90"/>
            </w:tcMar>
          </w:tcPr>
          <w:p>
            <w:r>
              <w:rPr>
                <w:rFonts w:ascii="Calibri" w:cs="Calibri" w:eastAsia="Calibri" w:hAnsi="Calibri"/>
                <w:b w:val="false"/>
                <w:bCs w:val="false"/>
                <w:color w:val="1a1a1a"/>
                <w:sz w:val="19"/>
                <w:szCs w:val="19"/>
              </w:rPr>
              <w:t xml:space="preserve">Customer’s logically isolated environment within the Platform’s multi-tenant architecture.</w:t>
            </w:r>
          </w:p>
        </w:tc>
      </w:tr>
      <w:tr>
        <w:tc>
          <w:tcPr>
            <w:tcW w:type="dxa" w:w="26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"TRAIGA" / "TDPSA"</w:t>
            </w:r>
          </w:p>
        </w:tc>
        <w:tc>
          <w:tcPr>
            <w:tcW w:type="dxa" w:w="67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The Texas Responsible Artificial Intelligence Governance Act (HB 149, eff. Jan 1, 2026) and the Texas Data Privacy and Security Act (eff. July 1, 2024), respectively.</w:t>
            </w:r>
          </w:p>
        </w:tc>
      </w:tr>
    </w:tbl>
    <w:p>
      <w:pPr>
        <w:spacing w:after="80"/>
      </w:pPr>
    </w:p>
    <w:p>
      <w:pPr>
        <w:pStyle w:val="Heading1"/>
        <w:spacing w:after="130" w:before="300"/>
      </w:pPr>
      <w:r>
        <w:rPr>
          <w:rFonts w:ascii="Calibri" w:cs="Calibri" w:eastAsia="Calibri" w:hAnsi="Calibri"/>
          <w:b/>
          <w:bCs/>
          <w:color w:val="00B4E6"/>
          <w:sz w:val="28"/>
          <w:szCs w:val="28"/>
        </w:rPr>
        <w:t xml:space="preserve">03.  </w:t>
      </w:r>
      <w:r>
        <w:rPr>
          <w:rFonts w:ascii="Calibri" w:cs="Calibri" w:eastAsia="Calibri" w:hAnsi="Calibri"/>
          <w:b/>
          <w:bCs/>
          <w:color w:val="042839"/>
          <w:sz w:val="28"/>
          <w:szCs w:val="28"/>
        </w:rPr>
        <w:t xml:space="preserve">Description of Platform and Services</w:t>
      </w:r>
    </w:p>
    <w:p>
      <w:pPr>
        <w:pStyle w:val="Heading2"/>
        <w:spacing w:after="70" w:before="180"/>
      </w:pPr>
      <w:r>
        <w:rPr>
          <w:rFonts w:ascii="Calibri" w:cs="Calibri" w:eastAsia="Calibri" w:hAnsi="Calibri"/>
          <w:b/>
          <w:bCs/>
          <w:color w:val="042839"/>
          <w:sz w:val="23"/>
          <w:szCs w:val="23"/>
        </w:rPr>
        <w:t xml:space="preserve">3.1  Core Offering</w:t>
      </w:r>
    </w:p>
    <w:p>
      <w:pPr>
        <w:spacing w:after="120" w:line="276"/>
      </w:pPr>
      <w:r>
        <w:rPr>
          <w:rFonts w:ascii="Calibri" w:cs="Calibri" w:eastAsia="Calibri" w:hAnsi="Calibri"/>
          <w:color w:val="1a1a1a"/>
          <w:sz w:val="21"/>
          <w:szCs w:val="21"/>
        </w:rPr>
        <w:t xml:space="preserve">Echo 1 Labs provides an AI-driven business lifecycle management platform that enables businesses to automate, orchestrate, and supervise critical functions — including go-to-market strategy, financial analysis, operations management, sales engineering, and process automation — through coordinated AI Agents operating under human governance controls.</w:t>
      </w:r>
    </w:p>
    <w:p>
      <w:pPr>
        <w:pStyle w:val="Heading2"/>
        <w:spacing w:after="70" w:before="180"/>
      </w:pPr>
      <w:r>
        <w:rPr>
          <w:rFonts w:ascii="Calibri" w:cs="Calibri" w:eastAsia="Calibri" w:hAnsi="Calibri"/>
          <w:b/>
          <w:bCs/>
          <w:color w:val="042839"/>
          <w:sz w:val="23"/>
          <w:szCs w:val="23"/>
        </w:rPr>
        <w:t xml:space="preserve">3.2  Platform Products</w:t>
      </w:r>
    </w:p>
    <w:p>
      <w:pPr>
        <w:pStyle w:val="ListParagraph"/>
        <w:numPr>
          <w:ilvl w:val="0"/>
          <w:numId w:val="2"/>
        </w:numPr>
        <w:spacing w:after="70" w:line="264"/>
      </w:pPr>
      <w:r>
        <w:rPr>
          <w:rFonts w:ascii="Calibri" w:cs="Calibri" w:eastAsia="Calibri" w:hAnsi="Calibri"/>
          <w:color w:val="1a1a1a"/>
          <w:sz w:val="21"/>
          <w:szCs w:val="21"/>
        </w:rPr>
        <w:t xml:space="preserve">PRIME / GTM Engine — AI-assisted go-to-market intake, research, ICP analysis, and campaign execution.</w:t>
      </w:r>
    </w:p>
    <w:p>
      <w:pPr>
        <w:pStyle w:val="ListParagraph"/>
        <w:numPr>
          <w:ilvl w:val="0"/>
          <w:numId w:val="2"/>
        </w:numPr>
        <w:spacing w:after="70" w:line="264"/>
      </w:pPr>
      <w:r>
        <w:rPr>
          <w:rFonts w:ascii="Calibri" w:cs="Calibri" w:eastAsia="Calibri" w:hAnsi="Calibri"/>
          <w:color w:val="1a1a1a"/>
          <w:sz w:val="21"/>
          <w:szCs w:val="21"/>
        </w:rPr>
        <w:t xml:space="preserve">Ledger — Financial intelligence with QBO integration and AI-assisted analysis.</w:t>
      </w:r>
    </w:p>
    <w:p>
      <w:pPr>
        <w:pStyle w:val="ListParagraph"/>
        <w:numPr>
          <w:ilvl w:val="0"/>
          <w:numId w:val="2"/>
        </w:numPr>
        <w:spacing w:after="70" w:line="264"/>
      </w:pPr>
      <w:r>
        <w:rPr>
          <w:rFonts w:ascii="Calibri" w:cs="Calibri" w:eastAsia="Calibri" w:hAnsi="Calibri"/>
          <w:color w:val="1a1a1a"/>
          <w:sz w:val="21"/>
          <w:szCs w:val="21"/>
        </w:rPr>
        <w:t xml:space="preserve">Orbit — Real-time organizational intelligence dashboard.</w:t>
      </w:r>
    </w:p>
    <w:p>
      <w:pPr>
        <w:pStyle w:val="ListParagraph"/>
        <w:numPr>
          <w:ilvl w:val="0"/>
          <w:numId w:val="2"/>
        </w:numPr>
        <w:spacing w:after="70" w:line="264"/>
      </w:pPr>
      <w:r>
        <w:rPr>
          <w:rFonts w:ascii="Calibri" w:cs="Calibri" w:eastAsia="Calibri" w:hAnsi="Calibri"/>
          <w:color w:val="1a1a1a"/>
          <w:sz w:val="21"/>
          <w:szCs w:val="21"/>
        </w:rPr>
        <w:t xml:space="preserve">Bid Titan — Construction estimating and AI document processing.</w:t>
      </w:r>
    </w:p>
    <w:p>
      <w:pPr>
        <w:pStyle w:val="ListParagraph"/>
        <w:numPr>
          <w:ilvl w:val="0"/>
          <w:numId w:val="2"/>
        </w:numPr>
        <w:spacing w:after="70" w:line="264"/>
      </w:pPr>
      <w:r>
        <w:rPr>
          <w:rFonts w:ascii="Calibri" w:cs="Calibri" w:eastAsia="Calibri" w:hAnsi="Calibri"/>
          <w:color w:val="1a1a1a"/>
          <w:sz w:val="21"/>
          <w:szCs w:val="21"/>
        </w:rPr>
        <w:t xml:space="preserve">AI Agent Fleet — Specialized AI Agents operating under Policy Guardrails.</w:t>
      </w:r>
    </w:p>
    <w:p>
      <w:pPr>
        <w:pStyle w:val="ListParagraph"/>
        <w:numPr>
          <w:ilvl w:val="0"/>
          <w:numId w:val="2"/>
        </w:numPr>
        <w:spacing w:after="70" w:line="264"/>
      </w:pPr>
      <w:r>
        <w:rPr>
          <w:rFonts w:ascii="Calibri" w:cs="Calibri" w:eastAsia="Calibri" w:hAnsi="Calibri"/>
          <w:color w:val="1a1a1a"/>
          <w:sz w:val="21"/>
          <w:szCs w:val="21"/>
        </w:rPr>
        <w:t xml:space="preserve">Professional Services — Fractional executive, process engineering, and implementation services.</w:t>
      </w:r>
    </w:p>
    <w:p>
      <w:pPr>
        <w:pStyle w:val="Heading2"/>
        <w:spacing w:after="70" w:before="180"/>
      </w:pPr>
      <w:r>
        <w:rPr>
          <w:rFonts w:ascii="Calibri" w:cs="Calibri" w:eastAsia="Calibri" w:hAnsi="Calibri"/>
          <w:b/>
          <w:bCs/>
          <w:color w:val="042839"/>
          <w:sz w:val="23"/>
          <w:szCs w:val="23"/>
        </w:rPr>
        <w:t xml:space="preserve">3.3  SaaS Delivery</w:t>
      </w:r>
    </w:p>
    <w:p>
      <w:pPr>
        <w:spacing w:after="120" w:line="276"/>
      </w:pPr>
      <w:r>
        <w:rPr>
          <w:rFonts w:ascii="Calibri" w:cs="Calibri" w:eastAsia="Calibri" w:hAnsi="Calibri"/>
          <w:color w:val="1a1a1a"/>
          <w:sz w:val="21"/>
          <w:szCs w:val="21"/>
        </w:rPr>
        <w:t xml:space="preserve">The Platform is delivered as cloud-hosted SaaS. No software is licensed for local installation unless an Order Form specifies otherwise.</w:t>
      </w:r>
    </w:p>
    <w:p>
      <w:r>
        <w:br w:type="page"/>
      </w:r>
    </w:p>
    <w:p>
      <w:pPr>
        <w:pStyle w:val="Heading1"/>
        <w:spacing w:after="130" w:before="300"/>
      </w:pPr>
      <w:r>
        <w:rPr>
          <w:rFonts w:ascii="Calibri" w:cs="Calibri" w:eastAsia="Calibri" w:hAnsi="Calibri"/>
          <w:b/>
          <w:bCs/>
          <w:color w:val="00B4E6"/>
          <w:sz w:val="28"/>
          <w:szCs w:val="28"/>
        </w:rPr>
        <w:t xml:space="preserve">04.  </w:t>
      </w:r>
      <w:r>
        <w:rPr>
          <w:rFonts w:ascii="Calibri" w:cs="Calibri" w:eastAsia="Calibri" w:hAnsi="Calibri"/>
          <w:b/>
          <w:bCs/>
          <w:color w:val="042839"/>
          <w:sz w:val="28"/>
          <w:szCs w:val="28"/>
        </w:rPr>
        <w:t xml:space="preserve">AI Agent Services — Delegation of Authority &amp; Policy Guardrails</w:t>
      </w:r>
    </w:p>
    <w:p>
      <w:pPr>
        <w:pBdr>
          <w:left w:val="single" w:color="B00020" w:sz="18"/>
        </w:pBdr>
        <w:shd w:fill="FDECEA" w:val="clear"/>
        <w:spacing w:after="120" w:before="80"/>
      </w:pPr>
      <w:r>
        <w:rPr>
          <w:rFonts w:ascii="Calibri" w:cs="Calibri" w:eastAsia="Calibri" w:hAnsi="Calibri"/>
          <w:b/>
          <w:bCs/>
          <w:color w:val="7A0016"/>
          <w:sz w:val="18"/>
          <w:szCs w:val="18"/>
        </w:rPr>
        <w:t xml:space="preserve">CRITICAL: READ CAREFULLY. This section governs what AI Agents may do autonomously and where human approval is mandatory. Echo 1 Labs is not liable for harms caused by Customer’s failure to observe the HITL requirements in Section 5 or the guardrails in Exhibit A.</w:t>
      </w:r>
    </w:p>
    <w:p>
      <w:pPr>
        <w:pStyle w:val="Heading2"/>
        <w:spacing w:after="70" w:before="180"/>
      </w:pPr>
      <w:r>
        <w:rPr>
          <w:rFonts w:ascii="Calibri" w:cs="Calibri" w:eastAsia="Calibri" w:hAnsi="Calibri"/>
          <w:b/>
          <w:bCs/>
          <w:color w:val="042839"/>
          <w:sz w:val="23"/>
          <w:szCs w:val="23"/>
        </w:rPr>
        <w:t xml:space="preserve">4.1  Authorized Autonomous Actions</w:t>
      </w:r>
    </w:p>
    <w:p>
      <w:pPr>
        <w:pStyle w:val="ListParagraph"/>
        <w:numPr>
          <w:ilvl w:val="0"/>
          <w:numId w:val="2"/>
        </w:numPr>
        <w:spacing w:after="70" w:line="264"/>
      </w:pPr>
      <w:r>
        <w:rPr>
          <w:rFonts w:ascii="Calibri" w:cs="Calibri" w:eastAsia="Calibri" w:hAnsi="Calibri"/>
          <w:color w:val="1a1a1a"/>
          <w:sz w:val="21"/>
          <w:szCs w:val="21"/>
        </w:rPr>
        <w:t xml:space="preserve">Research and analysis for human review.</w:t>
      </w:r>
    </w:p>
    <w:p>
      <w:pPr>
        <w:pStyle w:val="ListParagraph"/>
        <w:numPr>
          <w:ilvl w:val="0"/>
          <w:numId w:val="2"/>
        </w:numPr>
        <w:spacing w:after="70" w:line="264"/>
      </w:pPr>
      <w:r>
        <w:rPr>
          <w:rFonts w:ascii="Calibri" w:cs="Calibri" w:eastAsia="Calibri" w:hAnsi="Calibri"/>
          <w:color w:val="1a1a1a"/>
          <w:sz w:val="21"/>
          <w:szCs w:val="21"/>
        </w:rPr>
        <w:t xml:space="preserve">Internal drafting of documents and artifacts for Authorized User review prior to external use.</w:t>
      </w:r>
    </w:p>
    <w:p>
      <w:pPr>
        <w:pStyle w:val="ListParagraph"/>
        <w:numPr>
          <w:ilvl w:val="0"/>
          <w:numId w:val="2"/>
        </w:numPr>
        <w:spacing w:after="70" w:line="264"/>
      </w:pPr>
      <w:r>
        <w:rPr>
          <w:rFonts w:ascii="Calibri" w:cs="Calibri" w:eastAsia="Calibri" w:hAnsi="Calibri"/>
          <w:color w:val="1a1a1a"/>
          <w:sz w:val="21"/>
          <w:szCs w:val="21"/>
        </w:rPr>
        <w:t xml:space="preserve">Financial data ingestion and normalization from connected systems.</w:t>
      </w:r>
    </w:p>
    <w:p>
      <w:pPr>
        <w:pStyle w:val="ListParagraph"/>
        <w:numPr>
          <w:ilvl w:val="0"/>
          <w:numId w:val="2"/>
        </w:numPr>
        <w:spacing w:after="70" w:line="264"/>
      </w:pPr>
      <w:r>
        <w:rPr>
          <w:rFonts w:ascii="Calibri" w:cs="Calibri" w:eastAsia="Calibri" w:hAnsi="Calibri"/>
          <w:color w:val="1a1a1a"/>
          <w:sz w:val="21"/>
          <w:szCs w:val="21"/>
        </w:rPr>
        <w:t xml:space="preserve">Workflow orchestration within pre-approved, Customer-configured guardrails.</w:t>
      </w:r>
    </w:p>
    <w:p>
      <w:pPr>
        <w:pStyle w:val="ListParagraph"/>
        <w:numPr>
          <w:ilvl w:val="0"/>
          <w:numId w:val="2"/>
        </w:numPr>
        <w:spacing w:after="70" w:line="264"/>
      </w:pPr>
      <w:r>
        <w:rPr>
          <w:rFonts w:ascii="Calibri" w:cs="Calibri" w:eastAsia="Calibri" w:hAnsi="Calibri"/>
          <w:color w:val="1a1a1a"/>
          <w:sz w:val="21"/>
          <w:szCs w:val="21"/>
        </w:rPr>
        <w:t xml:space="preserve">Notification and escalation of conditions requiring Human Sign-Off.</w:t>
      </w:r>
    </w:p>
    <w:p>
      <w:pPr>
        <w:pStyle w:val="Heading2"/>
        <w:spacing w:after="70" w:before="180"/>
      </w:pPr>
      <w:r>
        <w:rPr>
          <w:rFonts w:ascii="Calibri" w:cs="Calibri" w:eastAsia="Calibri" w:hAnsi="Calibri"/>
          <w:b/>
          <w:bCs/>
          <w:color w:val="042839"/>
          <w:sz w:val="23"/>
          <w:szCs w:val="23"/>
        </w:rPr>
        <w:t xml:space="preserve">4.2  Actions Requiring Human Sign-Off</w:t>
      </w:r>
    </w:p>
    <w:p>
      <w:pPr>
        <w:spacing w:after="120" w:line="276"/>
      </w:pPr>
      <w:r>
        <w:rPr>
          <w:rFonts w:ascii="Calibri" w:cs="Calibri" w:eastAsia="Calibri" w:hAnsi="Calibri"/>
          <w:color w:val="1a1a1a"/>
          <w:sz w:val="21"/>
          <w:szCs w:val="21"/>
        </w:rPr>
        <w:t xml:space="preserve">No AI Agent may, without prior Human Sign-Off by an Authorized User:</w:t>
      </w:r>
    </w:p>
    <w:p>
      <w:pPr>
        <w:pStyle w:val="ListParagraph"/>
        <w:numPr>
          <w:ilvl w:val="0"/>
          <w:numId w:val="2"/>
        </w:numPr>
        <w:spacing w:after="70" w:line="264"/>
      </w:pPr>
      <w:r>
        <w:rPr>
          <w:rFonts w:ascii="Calibri" w:cs="Calibri" w:eastAsia="Calibri" w:hAnsi="Calibri"/>
          <w:color w:val="1a1a1a"/>
          <w:sz w:val="21"/>
          <w:szCs w:val="21"/>
        </w:rPr>
        <w:t xml:space="preserve">Send any external communication, report, or proposal to a third party.</w:t>
      </w:r>
    </w:p>
    <w:p>
      <w:pPr>
        <w:pStyle w:val="ListParagraph"/>
        <w:numPr>
          <w:ilvl w:val="0"/>
          <w:numId w:val="2"/>
        </w:numPr>
        <w:spacing w:after="70" w:line="264"/>
      </w:pPr>
      <w:r>
        <w:rPr>
          <w:rFonts w:ascii="Calibri" w:cs="Calibri" w:eastAsia="Calibri" w:hAnsi="Calibri"/>
          <w:color w:val="1a1a1a"/>
          <w:sz w:val="21"/>
          <w:szCs w:val="21"/>
        </w:rPr>
        <w:t xml:space="preserve">Execute, authorize, or represent agreement to any contract, commitment, or financial obligation.</w:t>
      </w:r>
    </w:p>
    <w:p>
      <w:pPr>
        <w:pStyle w:val="ListParagraph"/>
        <w:numPr>
          <w:ilvl w:val="0"/>
          <w:numId w:val="2"/>
        </w:numPr>
        <w:spacing w:after="70" w:line="264"/>
      </w:pPr>
      <w:r>
        <w:rPr>
          <w:rFonts w:ascii="Calibri" w:cs="Calibri" w:eastAsia="Calibri" w:hAnsi="Calibri"/>
          <w:color w:val="1a1a1a"/>
          <w:sz w:val="21"/>
          <w:szCs w:val="21"/>
        </w:rPr>
        <w:t xml:space="preserve">Process, initiate, or authorize any financial transaction.</w:t>
      </w:r>
    </w:p>
    <w:p>
      <w:pPr>
        <w:pStyle w:val="ListParagraph"/>
        <w:numPr>
          <w:ilvl w:val="0"/>
          <w:numId w:val="2"/>
        </w:numPr>
        <w:spacing w:after="70" w:line="264"/>
      </w:pPr>
      <w:r>
        <w:rPr>
          <w:rFonts w:ascii="Calibri" w:cs="Calibri" w:eastAsia="Calibri" w:hAnsi="Calibri"/>
          <w:color w:val="1a1a1a"/>
          <w:sz w:val="21"/>
          <w:szCs w:val="21"/>
        </w:rPr>
        <w:t xml:space="preserve">Share Sensitive Business Data outside the Customer’s Tenant.</w:t>
      </w:r>
    </w:p>
    <w:p>
      <w:pPr>
        <w:pStyle w:val="ListParagraph"/>
        <w:numPr>
          <w:ilvl w:val="0"/>
          <w:numId w:val="2"/>
        </w:numPr>
        <w:spacing w:after="70" w:line="264"/>
      </w:pPr>
      <w:r>
        <w:rPr>
          <w:rFonts w:ascii="Calibri" w:cs="Calibri" w:eastAsia="Calibri" w:hAnsi="Calibri"/>
          <w:color w:val="1a1a1a"/>
          <w:sz w:val="21"/>
          <w:szCs w:val="21"/>
        </w:rPr>
        <w:t xml:space="preserve">Modify, overwrite, or delete Client Data in a non-reversible manner.</w:t>
      </w:r>
    </w:p>
    <w:p>
      <w:pPr>
        <w:pStyle w:val="ListParagraph"/>
        <w:numPr>
          <w:ilvl w:val="0"/>
          <w:numId w:val="2"/>
        </w:numPr>
        <w:spacing w:after="70" w:line="264"/>
      </w:pPr>
      <w:r>
        <w:rPr>
          <w:rFonts w:ascii="Calibri" w:cs="Calibri" w:eastAsia="Calibri" w:hAnsi="Calibri"/>
          <w:color w:val="1a1a1a"/>
          <w:sz w:val="21"/>
          <w:szCs w:val="21"/>
        </w:rPr>
        <w:t xml:space="preserve">Publish any go-to-market recommendation, pricing change, or strategic decision to be acted upon externally.</w:t>
      </w:r>
    </w:p>
    <w:p>
      <w:pPr>
        <w:pStyle w:val="ListParagraph"/>
        <w:numPr>
          <w:ilvl w:val="0"/>
          <w:numId w:val="2"/>
        </w:numPr>
        <w:spacing w:after="70" w:line="264"/>
      </w:pPr>
      <w:r>
        <w:rPr>
          <w:rFonts w:ascii="Calibri" w:cs="Calibri" w:eastAsia="Calibri" w:hAnsi="Calibri"/>
          <w:color w:val="1a1a1a"/>
          <w:sz w:val="21"/>
          <w:szCs w:val="21"/>
        </w:rPr>
        <w:t xml:space="preserve">File any regulatory, tax, or compliance document.</w:t>
      </w:r>
    </w:p>
    <w:p>
      <w:pPr>
        <w:pStyle w:val="ListParagraph"/>
        <w:numPr>
          <w:ilvl w:val="0"/>
          <w:numId w:val="2"/>
        </w:numPr>
        <w:spacing w:after="70" w:line="264"/>
      </w:pPr>
      <w:r>
        <w:rPr>
          <w:rFonts w:ascii="Calibri" w:cs="Calibri" w:eastAsia="Calibri" w:hAnsi="Calibri"/>
          <w:color w:val="1a1a1a"/>
          <w:sz w:val="21"/>
          <w:szCs w:val="21"/>
        </w:rPr>
        <w:t xml:space="preserve">Onboard new users, integrations, or data connections.</w:t>
      </w:r>
    </w:p>
    <w:p>
      <w:pPr>
        <w:pStyle w:val="Heading2"/>
        <w:spacing w:after="70" w:before="180"/>
      </w:pPr>
      <w:r>
        <w:rPr>
          <w:rFonts w:ascii="Calibri" w:cs="Calibri" w:eastAsia="Calibri" w:hAnsi="Calibri"/>
          <w:b/>
          <w:bCs/>
          <w:color w:val="042839"/>
          <w:sz w:val="23"/>
          <w:szCs w:val="23"/>
        </w:rPr>
        <w:t xml:space="preserve">4.3  Third-Party Model Disclaimer</w:t>
      </w:r>
    </w:p>
    <w:p>
      <w:pPr>
        <w:spacing w:after="120" w:line="276"/>
      </w:pPr>
      <w:r>
        <w:rPr>
          <w:rFonts w:ascii="Calibri" w:cs="Calibri" w:eastAsia="Calibri" w:hAnsi="Calibri"/>
          <w:color w:val="1a1a1a"/>
          <w:sz w:val="21"/>
          <w:szCs w:val="21"/>
        </w:rPr>
        <w:t xml:space="preserve">AI Agents use large language models from third parties (including Anthropic, PBC via AWS Bedrock). Echo 1 Labs does not control these models, their training data, or their updates. AI Outputs may reflect limitations, biases, or hallucinations inherent in any LLM system.</w:t>
      </w:r>
    </w:p>
    <w:p>
      <w:pPr>
        <w:pStyle w:val="Heading1"/>
        <w:spacing w:after="130" w:before="300"/>
      </w:pPr>
      <w:r>
        <w:rPr>
          <w:rFonts w:ascii="Calibri" w:cs="Calibri" w:eastAsia="Calibri" w:hAnsi="Calibri"/>
          <w:b/>
          <w:bCs/>
          <w:color w:val="00B4E6"/>
          <w:sz w:val="28"/>
          <w:szCs w:val="28"/>
        </w:rPr>
        <w:t xml:space="preserve">05.  </w:t>
      </w:r>
      <w:r>
        <w:rPr>
          <w:rFonts w:ascii="Calibri" w:cs="Calibri" w:eastAsia="Calibri" w:hAnsi="Calibri"/>
          <w:b/>
          <w:bCs/>
          <w:color w:val="042839"/>
          <w:sz w:val="28"/>
          <w:szCs w:val="28"/>
        </w:rPr>
        <w:t xml:space="preserve">Human Supervision and Sign-Off Requirements</w:t>
      </w:r>
    </w:p>
    <w:p>
      <w:pPr>
        <w:pStyle w:val="Heading2"/>
        <w:spacing w:after="70" w:before="180"/>
      </w:pPr>
      <w:r>
        <w:rPr>
          <w:rFonts w:ascii="Calibri" w:cs="Calibri" w:eastAsia="Calibri" w:hAnsi="Calibri"/>
          <w:b/>
          <w:bCs/>
          <w:color w:val="042839"/>
          <w:sz w:val="23"/>
          <w:szCs w:val="23"/>
        </w:rPr>
        <w:t xml:space="preserve">5.1  Customer’s Supervisory Obligation</w:t>
      </w:r>
    </w:p>
    <w:p>
      <w:pPr>
        <w:spacing w:after="120" w:line="276"/>
      </w:pPr>
      <w:r>
        <w:rPr>
          <w:rFonts w:ascii="Calibri" w:cs="Calibri" w:eastAsia="Calibri" w:hAnsi="Calibri"/>
          <w:color w:val="1a1a1a"/>
          <w:sz w:val="21"/>
          <w:szCs w:val="21"/>
        </w:rPr>
        <w:t xml:space="preserve">Customer is solely responsible for: (a) designating qualified Authorized Users to supervise AI Agent activity; (b) reviewing AI Outputs before any Consequential Decision is acted upon or communicated to any third party; (c) establishing internal governance procedures implementing HITL requirements; and (d) ensuring AI Agents are not permitted to act without Human Sign-Off where required.</w:t>
      </w:r>
    </w:p>
    <w:p>
      <w:pPr>
        <w:pStyle w:val="Heading2"/>
        <w:spacing w:after="70" w:before="180"/>
      </w:pPr>
      <w:r>
        <w:rPr>
          <w:rFonts w:ascii="Calibri" w:cs="Calibri" w:eastAsia="Calibri" w:hAnsi="Calibri"/>
          <w:b/>
          <w:bCs/>
          <w:color w:val="042839"/>
          <w:sz w:val="23"/>
          <w:szCs w:val="23"/>
        </w:rPr>
        <w:t xml:space="preserve">5.2  Human Sign-Off Definition</w:t>
      </w:r>
    </w:p>
    <w:p>
      <w:pPr>
        <w:spacing w:after="120" w:line="276"/>
      </w:pPr>
      <w:r>
        <w:rPr>
          <w:rFonts w:ascii="Calibri" w:cs="Calibri" w:eastAsia="Calibri" w:hAnsi="Calibri"/>
          <w:color w:val="1a1a1a"/>
          <w:sz w:val="21"/>
          <w:szCs w:val="21"/>
        </w:rPr>
        <w:t xml:space="preserve">"Human Sign-Off" means affirmative approval by an Authorized User who has reviewed the AI Output in full, applied independent professional judgment, and taken responsibility for the resulting action. Passive inaction or automated acknowledgment does not constitute Human Sign-Off.</w:t>
      </w:r>
    </w:p>
    <w:p>
      <w:pPr>
        <w:pStyle w:val="Heading2"/>
        <w:spacing w:after="70" w:before="180"/>
      </w:pPr>
      <w:r>
        <w:rPr>
          <w:rFonts w:ascii="Calibri" w:cs="Calibri" w:eastAsia="Calibri" w:hAnsi="Calibri"/>
          <w:b/>
          <w:bCs/>
          <w:color w:val="042839"/>
          <w:sz w:val="23"/>
          <w:szCs w:val="23"/>
        </w:rPr>
        <w:t xml:space="preserve">5.3  Customer Assumption of Risk</w:t>
      </w:r>
    </w:p>
    <w:p>
      <w:pPr>
        <w:pBdr>
          <w:left w:val="single" w:color="B00020" w:sz="18"/>
        </w:pBdr>
        <w:shd w:fill="FDECEA" w:val="clear"/>
        <w:spacing w:after="120" w:before="80"/>
      </w:pPr>
      <w:r>
        <w:rPr>
          <w:rFonts w:ascii="Calibri" w:cs="Calibri" w:eastAsia="Calibri" w:hAnsi="Calibri"/>
          <w:b/>
          <w:bCs/>
          <w:color w:val="7A0016"/>
          <w:sz w:val="18"/>
          <w:szCs w:val="18"/>
        </w:rPr>
        <w:t xml:space="preserve">IF CUSTOMER PERMITS AN AI AGENT TO TAKE AN ACTION THAT REQUIRES HUMAN SIGN-OFF WITHOUT OBTAINING THAT SIGN-OFF — WHETHER BY MISCONFIGURATION, NEGLIGENCE, OR DELIBERATE BYPASS — ECHO 1 LABS BEARS NO LIABILITY FOR RESULTING HARM. CUSTOMER ASSUMES ALL RISK AND LIABILITY, AND SUCH USE CONSTITUTES A MATERIAL BREACH OF THIS AGREEMENT.</w:t>
      </w:r>
    </w:p>
    <w:p>
      <w:pPr>
        <w:pStyle w:val="Heading1"/>
        <w:spacing w:after="130" w:before="300"/>
      </w:pPr>
      <w:r>
        <w:rPr>
          <w:rFonts w:ascii="Calibri" w:cs="Calibri" w:eastAsia="Calibri" w:hAnsi="Calibri"/>
          <w:b/>
          <w:bCs/>
          <w:color w:val="00B4E6"/>
          <w:sz w:val="28"/>
          <w:szCs w:val="28"/>
        </w:rPr>
        <w:t xml:space="preserve">06.  </w:t>
      </w:r>
      <w:r>
        <w:rPr>
          <w:rFonts w:ascii="Calibri" w:cs="Calibri" w:eastAsia="Calibri" w:hAnsi="Calibri"/>
          <w:b/>
          <w:bCs/>
          <w:color w:val="042839"/>
          <w:sz w:val="28"/>
          <w:szCs w:val="28"/>
        </w:rPr>
        <w:t xml:space="preserve">Account Registration and Security</w:t>
      </w:r>
    </w:p>
    <w:p>
      <w:pPr>
        <w:spacing w:after="120" w:line="276"/>
      </w:pPr>
      <w:r>
        <w:rPr>
          <w:rFonts w:ascii="Calibri" w:cs="Calibri" w:eastAsia="Calibri" w:hAnsi="Calibri"/>
          <w:color w:val="1a1a1a"/>
          <w:sz w:val="21"/>
          <w:szCs w:val="21"/>
        </w:rPr>
        <w:t xml:space="preserve">Customer must register with accurate and current information, maintain the confidentiality of all credentials, restrict access to Authorized Users only, and promptly notify legal@echo1labs.com of any suspected unauthorized access. Customer is responsible for all activities conducted under its account.</w:t>
      </w:r>
    </w:p>
    <w:p>
      <w:r>
        <w:br w:type="page"/>
      </w:r>
    </w:p>
    <w:p>
      <w:pPr>
        <w:pStyle w:val="Heading1"/>
        <w:spacing w:after="130" w:before="300"/>
      </w:pPr>
      <w:r>
        <w:rPr>
          <w:rFonts w:ascii="Calibri" w:cs="Calibri" w:eastAsia="Calibri" w:hAnsi="Calibri"/>
          <w:b/>
          <w:bCs/>
          <w:color w:val="00B4E6"/>
          <w:sz w:val="28"/>
          <w:szCs w:val="28"/>
        </w:rPr>
        <w:t xml:space="preserve">07.  </w:t>
      </w:r>
      <w:r>
        <w:rPr>
          <w:rFonts w:ascii="Calibri" w:cs="Calibri" w:eastAsia="Calibri" w:hAnsi="Calibri"/>
          <w:b/>
          <w:bCs/>
          <w:color w:val="042839"/>
          <w:sz w:val="28"/>
          <w:szCs w:val="28"/>
        </w:rPr>
        <w:t xml:space="preserve">Acceptable Use Policy</w:t>
      </w:r>
    </w:p>
    <w:p>
      <w:pPr>
        <w:pStyle w:val="Heading2"/>
        <w:spacing w:after="70" w:before="180"/>
      </w:pPr>
      <w:r>
        <w:rPr>
          <w:rFonts w:ascii="Calibri" w:cs="Calibri" w:eastAsia="Calibri" w:hAnsi="Calibri"/>
          <w:b/>
          <w:bCs/>
          <w:color w:val="042839"/>
          <w:sz w:val="23"/>
          <w:szCs w:val="23"/>
        </w:rPr>
        <w:t xml:space="preserve">7.1  Prohibited Activities</w:t>
      </w:r>
    </w:p>
    <w:p>
      <w:pPr>
        <w:spacing w:after="120" w:line="276"/>
      </w:pPr>
      <w:r>
        <w:rPr>
          <w:rFonts w:ascii="Calibri" w:cs="Calibri" w:eastAsia="Calibri" w:hAnsi="Calibri"/>
          <w:color w:val="1a1a1a"/>
          <w:sz w:val="21"/>
          <w:szCs w:val="21"/>
        </w:rPr>
        <w:t xml:space="preserve">Customer shall not:</w:t>
      </w:r>
    </w:p>
    <w:p>
      <w:pPr>
        <w:pStyle w:val="ListParagraph"/>
        <w:numPr>
          <w:ilvl w:val="0"/>
          <w:numId w:val="2"/>
        </w:numPr>
        <w:spacing w:after="70" w:line="264"/>
      </w:pPr>
      <w:r>
        <w:rPr>
          <w:rFonts w:ascii="Calibri" w:cs="Calibri" w:eastAsia="Calibri" w:hAnsi="Calibri"/>
          <w:color w:val="1a1a1a"/>
          <w:sz w:val="21"/>
          <w:szCs w:val="21"/>
        </w:rPr>
        <w:t xml:space="preserve">Use the Platform for any illegal purpose or in violation of applicable law.</w:t>
      </w:r>
    </w:p>
    <w:p>
      <w:pPr>
        <w:pStyle w:val="ListParagraph"/>
        <w:numPr>
          <w:ilvl w:val="0"/>
          <w:numId w:val="2"/>
        </w:numPr>
        <w:spacing w:after="70" w:line="264"/>
      </w:pPr>
      <w:r>
        <w:rPr>
          <w:rFonts w:ascii="Calibri" w:cs="Calibri" w:eastAsia="Calibri" w:hAnsi="Calibri"/>
          <w:color w:val="1a1a1a"/>
          <w:sz w:val="21"/>
          <w:szCs w:val="21"/>
        </w:rPr>
        <w:t xml:space="preserve">Attempt to gain unauthorized access to any portion of the Platform or another customer’s Tenant.</w:t>
      </w:r>
    </w:p>
    <w:p>
      <w:pPr>
        <w:pStyle w:val="ListParagraph"/>
        <w:numPr>
          <w:ilvl w:val="0"/>
          <w:numId w:val="2"/>
        </w:numPr>
        <w:spacing w:after="70" w:line="264"/>
      </w:pPr>
      <w:r>
        <w:rPr>
          <w:rFonts w:ascii="Calibri" w:cs="Calibri" w:eastAsia="Calibri" w:hAnsi="Calibri"/>
          <w:color w:val="1a1a1a"/>
          <w:sz w:val="21"/>
          <w:szCs w:val="21"/>
        </w:rPr>
        <w:t xml:space="preserve">Reverse engineer, decompile, or extract source code, model weights, or prompt templates from any AI Agent.</w:t>
      </w:r>
    </w:p>
    <w:p>
      <w:pPr>
        <w:pStyle w:val="ListParagraph"/>
        <w:numPr>
          <w:ilvl w:val="0"/>
          <w:numId w:val="2"/>
        </w:numPr>
        <w:spacing w:after="70" w:line="264"/>
      </w:pPr>
      <w:r>
        <w:rPr>
          <w:rFonts w:ascii="Calibri" w:cs="Calibri" w:eastAsia="Calibri" w:hAnsi="Calibri"/>
          <w:color w:val="1a1a1a"/>
          <w:sz w:val="21"/>
          <w:szCs w:val="21"/>
        </w:rPr>
        <w:t xml:space="preserve">Use the Platform to train or build any competing AI system or product.</w:t>
      </w:r>
    </w:p>
    <w:p>
      <w:pPr>
        <w:pStyle w:val="ListParagraph"/>
        <w:numPr>
          <w:ilvl w:val="0"/>
          <w:numId w:val="2"/>
        </w:numPr>
        <w:spacing w:after="70" w:line="264"/>
      </w:pPr>
      <w:r>
        <w:rPr>
          <w:rFonts w:ascii="Calibri" w:cs="Calibri" w:eastAsia="Calibri" w:hAnsi="Calibri"/>
          <w:color w:val="1a1a1a"/>
          <w:sz w:val="21"/>
          <w:szCs w:val="21"/>
        </w:rPr>
        <w:t xml:space="preserve">Submit malware, viruses, or other harmful code to the Platform.</w:t>
      </w:r>
    </w:p>
    <w:p>
      <w:pPr>
        <w:pStyle w:val="ListParagraph"/>
        <w:numPr>
          <w:ilvl w:val="0"/>
          <w:numId w:val="2"/>
        </w:numPr>
        <w:spacing w:after="70" w:line="264"/>
      </w:pPr>
      <w:r>
        <w:rPr>
          <w:rFonts w:ascii="Calibri" w:cs="Calibri" w:eastAsia="Calibri" w:hAnsi="Calibri"/>
          <w:color w:val="1a1a1a"/>
          <w:sz w:val="21"/>
          <w:szCs w:val="21"/>
        </w:rPr>
        <w:t xml:space="preserve">Use AI Agents to make automated decisions about individuals that violate applicable law, including fair lending or employment discrimination laws.</w:t>
      </w:r>
    </w:p>
    <w:p>
      <w:pPr>
        <w:pStyle w:val="ListParagraph"/>
        <w:numPr>
          <w:ilvl w:val="0"/>
          <w:numId w:val="2"/>
        </w:numPr>
        <w:spacing w:after="70" w:line="264"/>
      </w:pPr>
      <w:r>
        <w:rPr>
          <w:rFonts w:ascii="Calibri" w:cs="Calibri" w:eastAsia="Calibri" w:hAnsi="Calibri"/>
          <w:color w:val="1a1a1a"/>
          <w:sz w:val="21"/>
          <w:szCs w:val="21"/>
        </w:rPr>
        <w:t xml:space="preserve">Attempt to "jailbreak" or manipulate AI Agents to circumvent Policy Guardrails.</w:t>
      </w:r>
    </w:p>
    <w:p>
      <w:pPr>
        <w:pStyle w:val="ListParagraph"/>
        <w:numPr>
          <w:ilvl w:val="0"/>
          <w:numId w:val="2"/>
        </w:numPr>
        <w:spacing w:after="70" w:line="264"/>
      </w:pPr>
      <w:r>
        <w:rPr>
          <w:rFonts w:ascii="Calibri" w:cs="Calibri" w:eastAsia="Calibri" w:hAnsi="Calibri"/>
          <w:color w:val="1a1a1a"/>
          <w:sz w:val="21"/>
          <w:szCs w:val="21"/>
        </w:rPr>
        <w:t xml:space="preserve">Resell or sublicense the Platform without Echo 1 Labs’s prior written consent.</w:t>
      </w:r>
    </w:p>
    <w:p>
      <w:pPr>
        <w:pStyle w:val="ListParagraph"/>
        <w:numPr>
          <w:ilvl w:val="0"/>
          <w:numId w:val="2"/>
        </w:numPr>
        <w:spacing w:after="70" w:line="264"/>
      </w:pPr>
      <w:r>
        <w:rPr>
          <w:rFonts w:ascii="Calibri" w:cs="Calibri" w:eastAsia="Calibri" w:hAnsi="Calibri"/>
          <w:color w:val="1a1a1a"/>
          <w:sz w:val="21"/>
          <w:szCs w:val="21"/>
        </w:rPr>
        <w:t xml:space="preserve">Process data that Customer does not have the legal right to process.</w:t>
      </w:r>
    </w:p>
    <w:p>
      <w:pPr>
        <w:pStyle w:val="Heading1"/>
        <w:spacing w:after="130" w:before="300"/>
      </w:pPr>
      <w:r>
        <w:rPr>
          <w:rFonts w:ascii="Calibri" w:cs="Calibri" w:eastAsia="Calibri" w:hAnsi="Calibri"/>
          <w:b/>
          <w:bCs/>
          <w:color w:val="00B4E6"/>
          <w:sz w:val="28"/>
          <w:szCs w:val="28"/>
        </w:rPr>
        <w:t xml:space="preserve">08.  </w:t>
      </w:r>
      <w:r>
        <w:rPr>
          <w:rFonts w:ascii="Calibri" w:cs="Calibri" w:eastAsia="Calibri" w:hAnsi="Calibri"/>
          <w:b/>
          <w:bCs/>
          <w:color w:val="042839"/>
          <w:sz w:val="28"/>
          <w:szCs w:val="28"/>
        </w:rPr>
        <w:t xml:space="preserve">Client Data and Data Processing</w:t>
      </w:r>
    </w:p>
    <w:p>
      <w:pPr>
        <w:pStyle w:val="Heading2"/>
        <w:spacing w:after="70" w:before="180"/>
      </w:pPr>
      <w:r>
        <w:rPr>
          <w:rFonts w:ascii="Calibri" w:cs="Calibri" w:eastAsia="Calibri" w:hAnsi="Calibri"/>
          <w:b/>
          <w:bCs/>
          <w:color w:val="042839"/>
          <w:sz w:val="23"/>
          <w:szCs w:val="23"/>
        </w:rPr>
        <w:t xml:space="preserve">8.1  Customer Ownership</w:t>
      </w:r>
    </w:p>
    <w:p>
      <w:pPr>
        <w:spacing w:after="120" w:line="276"/>
      </w:pPr>
      <w:r>
        <w:rPr>
          <w:rFonts w:ascii="Calibri" w:cs="Calibri" w:eastAsia="Calibri" w:hAnsi="Calibri"/>
          <w:color w:val="1a1a1a"/>
          <w:sz w:val="21"/>
          <w:szCs w:val="21"/>
        </w:rPr>
        <w:t xml:space="preserve">Customer retains all right, title, and interest in Client Data. Echo 1 Labs receives a limited license to process Client Data solely to provide the Platform and related services, and as further described in the DPA.</w:t>
      </w:r>
    </w:p>
    <w:p>
      <w:pPr>
        <w:pStyle w:val="Heading2"/>
        <w:spacing w:after="70" w:before="180"/>
      </w:pPr>
      <w:r>
        <w:rPr>
          <w:rFonts w:ascii="Calibri" w:cs="Calibri" w:eastAsia="Calibri" w:hAnsi="Calibri"/>
          <w:b/>
          <w:bCs/>
          <w:color w:val="042839"/>
          <w:sz w:val="23"/>
          <w:szCs w:val="23"/>
        </w:rPr>
        <w:t xml:space="preserve">8.2  No Use for Model Training</w:t>
      </w:r>
    </w:p>
    <w:p>
      <w:pPr>
        <w:spacing w:after="120" w:line="276"/>
      </w:pPr>
      <w:r>
        <w:rPr>
          <w:rFonts w:ascii="Calibri" w:cs="Calibri" w:eastAsia="Calibri" w:hAnsi="Calibri"/>
          <w:color w:val="1a1a1a"/>
          <w:sz w:val="21"/>
          <w:szCs w:val="21"/>
        </w:rPr>
        <w:t xml:space="preserve">Echo 1 Labs shall not use Customer’s Client Data to train, fine-tune, or improve any general-purpose AI model without Customer’s prior explicit written consent.</w:t>
      </w:r>
    </w:p>
    <w:p>
      <w:pPr>
        <w:pStyle w:val="Heading2"/>
        <w:spacing w:after="70" w:before="180"/>
      </w:pPr>
      <w:r>
        <w:rPr>
          <w:rFonts w:ascii="Calibri" w:cs="Calibri" w:eastAsia="Calibri" w:hAnsi="Calibri"/>
          <w:b/>
          <w:bCs/>
          <w:color w:val="042839"/>
          <w:sz w:val="23"/>
          <w:szCs w:val="23"/>
        </w:rPr>
        <w:t xml:space="preserve">8.3  Data Return and Deletion</w:t>
      </w:r>
    </w:p>
    <w:p>
      <w:pPr>
        <w:spacing w:after="120" w:line="276"/>
      </w:pPr>
      <w:r>
        <w:rPr>
          <w:rFonts w:ascii="Calibri" w:cs="Calibri" w:eastAsia="Calibri" w:hAnsi="Calibri"/>
          <w:color w:val="1a1a1a"/>
          <w:sz w:val="21"/>
          <w:szCs w:val="21"/>
        </w:rPr>
        <w:t xml:space="preserve">Upon termination, Echo 1 Labs will make Client Data available for export for 30 days, then delete or de-identify it in the ordinary course unless law requires longer retention.</w:t>
      </w:r>
    </w:p>
    <w:p>
      <w:pPr>
        <w:pStyle w:val="Heading1"/>
        <w:spacing w:after="130" w:before="300"/>
      </w:pPr>
      <w:r>
        <w:rPr>
          <w:rFonts w:ascii="Calibri" w:cs="Calibri" w:eastAsia="Calibri" w:hAnsi="Calibri"/>
          <w:b/>
          <w:bCs/>
          <w:color w:val="00B4E6"/>
          <w:sz w:val="28"/>
          <w:szCs w:val="28"/>
        </w:rPr>
        <w:t xml:space="preserve">09.  </w:t>
      </w:r>
      <w:r>
        <w:rPr>
          <w:rFonts w:ascii="Calibri" w:cs="Calibri" w:eastAsia="Calibri" w:hAnsi="Calibri"/>
          <w:b/>
          <w:bCs/>
          <w:color w:val="042839"/>
          <w:sz w:val="28"/>
          <w:szCs w:val="28"/>
        </w:rPr>
        <w:t xml:space="preserve">Fees, Billing, and Payment</w:t>
      </w:r>
    </w:p>
    <w:p>
      <w:pPr>
        <w:spacing w:after="120" w:line="276"/>
      </w:pPr>
      <w:r>
        <w:rPr>
          <w:rFonts w:ascii="Calibri" w:cs="Calibri" w:eastAsia="Calibri" w:hAnsi="Calibri"/>
          <w:color w:val="1a1a1a"/>
          <w:sz w:val="21"/>
          <w:szCs w:val="21"/>
        </w:rPr>
        <w:t xml:space="preserve">Fees are as specified in the applicable Order Form and are processed through our payment processor, Stripe. Past-due amounts accrue interest at 1.5% per month (18% annual) or the maximum rate permitted by Texas law. If payment remains outstanding 30 days after written notice, Echo 1 Labs may suspend Platform access. Customer is responsible for all applicable taxes. Echo 1 Labs may adjust fees with 60 days’ notice before a renewal term. Except as expressly stated, fees are non-refundable.</w:t>
      </w:r>
    </w:p>
    <w:p>
      <w:r>
        <w:br w:type="page"/>
      </w:r>
    </w:p>
    <w:p>
      <w:pPr>
        <w:pStyle w:val="Heading1"/>
        <w:spacing w:after="130" w:before="300"/>
      </w:pPr>
      <w:r>
        <w:rPr>
          <w:rFonts w:ascii="Calibri" w:cs="Calibri" w:eastAsia="Calibri" w:hAnsi="Calibri"/>
          <w:b/>
          <w:bCs/>
          <w:color w:val="00B4E6"/>
          <w:sz w:val="28"/>
          <w:szCs w:val="28"/>
        </w:rPr>
        <w:t xml:space="preserve">10.  </w:t>
      </w:r>
      <w:r>
        <w:rPr>
          <w:rFonts w:ascii="Calibri" w:cs="Calibri" w:eastAsia="Calibri" w:hAnsi="Calibri"/>
          <w:b/>
          <w:bCs/>
          <w:color w:val="042839"/>
          <w:sz w:val="28"/>
          <w:szCs w:val="28"/>
        </w:rPr>
        <w:t xml:space="preserve">Intellectual Property and AI Outputs</w:t>
      </w:r>
    </w:p>
    <w:p>
      <w:pPr>
        <w:spacing w:after="120" w:line="276"/>
      </w:pPr>
      <w:r>
        <w:rPr>
          <w:rFonts w:ascii="Calibri" w:cs="Calibri" w:eastAsia="Calibri" w:hAnsi="Calibri"/>
          <w:color w:val="1a1a1a"/>
          <w:sz w:val="21"/>
          <w:szCs w:val="21"/>
        </w:rPr>
        <w:t xml:space="preserve">Echo 1 Labs and its licensors own all right, title, and interest in the Platform, including AI Agent architectures, prompt engineering frameworks, workflow templates, and Documentation. Echo 1 Labs may freely use Feedback without obligation or compensation.</w:t>
      </w:r>
    </w:p>
    <w:p>
      <w:pPr>
        <w:pStyle w:val="Heading2"/>
        <w:spacing w:after="70" w:before="180"/>
      </w:pPr>
      <w:r>
        <w:rPr>
          <w:rFonts w:ascii="Calibri" w:cs="Calibri" w:eastAsia="Calibri" w:hAnsi="Calibri"/>
          <w:b/>
          <w:bCs/>
          <w:color w:val="042839"/>
          <w:sz w:val="23"/>
          <w:szCs w:val="23"/>
        </w:rPr>
        <w:t xml:space="preserve">10.1  Ownership of AI Outputs</w:t>
      </w:r>
    </w:p>
    <w:p>
      <w:pPr>
        <w:spacing w:after="120" w:line="276"/>
      </w:pPr>
      <w:r>
        <w:rPr>
          <w:rFonts w:ascii="Calibri" w:cs="Calibri" w:eastAsia="Calibri" w:hAnsi="Calibri"/>
          <w:color w:val="1a1a1a"/>
          <w:sz w:val="21"/>
          <w:szCs w:val="21"/>
        </w:rPr>
        <w:t xml:space="preserve">As between the parties, and subject to Echo 1 Labs’s retained rights in the Platform, Echo 1 Labs assigns to Customer its rights in the AI Outputs generated for Customer. Customer is responsible for reviewing AI Outputs (per Section 5) before use. Because AI Outputs are generated by third-party models from inputs Echo 1 Labs does not control, Echo 1 Labs does not warrant that any AI Output is original or non-infringing, and Section 15 governs allocation of third-party intellectual-property claims arising from AI Outputs.</w:t>
      </w:r>
    </w:p>
    <w:p>
      <w:pPr>
        <w:pStyle w:val="Heading2"/>
        <w:spacing w:after="70" w:before="180"/>
      </w:pPr>
      <w:r>
        <w:rPr>
          <w:rFonts w:ascii="Calibri" w:cs="Calibri" w:eastAsia="Calibri" w:hAnsi="Calibri"/>
          <w:b/>
          <w:bCs/>
          <w:color w:val="042839"/>
          <w:sz w:val="23"/>
          <w:szCs w:val="23"/>
        </w:rPr>
        <w:t xml:space="preserve">10.2  Prohibited IP Activities</w:t>
      </w:r>
    </w:p>
    <w:p>
      <w:pPr>
        <w:pStyle w:val="ListParagraph"/>
        <w:numPr>
          <w:ilvl w:val="0"/>
          <w:numId w:val="2"/>
        </w:numPr>
        <w:spacing w:after="70" w:line="264"/>
      </w:pPr>
      <w:r>
        <w:rPr>
          <w:rFonts w:ascii="Calibri" w:cs="Calibri" w:eastAsia="Calibri" w:hAnsi="Calibri"/>
          <w:color w:val="1a1a1a"/>
          <w:sz w:val="21"/>
          <w:szCs w:val="21"/>
        </w:rPr>
        <w:t xml:space="preserve">Remove or obscure any proprietary notices on the Platform.</w:t>
      </w:r>
    </w:p>
    <w:p>
      <w:pPr>
        <w:pStyle w:val="ListParagraph"/>
        <w:numPr>
          <w:ilvl w:val="0"/>
          <w:numId w:val="2"/>
        </w:numPr>
        <w:spacing w:after="70" w:line="264"/>
      </w:pPr>
      <w:r>
        <w:rPr>
          <w:rFonts w:ascii="Calibri" w:cs="Calibri" w:eastAsia="Calibri" w:hAnsi="Calibri"/>
          <w:color w:val="1a1a1a"/>
          <w:sz w:val="21"/>
          <w:szCs w:val="21"/>
        </w:rPr>
        <w:t xml:space="preserve">Use Echo 1 Labs trademarks or logos without prior written authorization.</w:t>
      </w:r>
    </w:p>
    <w:p>
      <w:pPr>
        <w:pStyle w:val="ListParagraph"/>
        <w:numPr>
          <w:ilvl w:val="0"/>
          <w:numId w:val="2"/>
        </w:numPr>
        <w:spacing w:after="70" w:line="264"/>
      </w:pPr>
      <w:r>
        <w:rPr>
          <w:rFonts w:ascii="Calibri" w:cs="Calibri" w:eastAsia="Calibri" w:hAnsi="Calibri"/>
          <w:color w:val="1a1a1a"/>
          <w:sz w:val="21"/>
          <w:szCs w:val="21"/>
        </w:rPr>
        <w:t xml:space="preserve">Represent AI Outputs as the work of a licensed human professional without independent professional review.</w:t>
      </w:r>
    </w:p>
    <w:p>
      <w:pPr>
        <w:pStyle w:val="ListParagraph"/>
        <w:numPr>
          <w:ilvl w:val="0"/>
          <w:numId w:val="2"/>
        </w:numPr>
        <w:spacing w:after="70" w:line="264"/>
      </w:pPr>
      <w:r>
        <w:rPr>
          <w:rFonts w:ascii="Calibri" w:cs="Calibri" w:eastAsia="Calibri" w:hAnsi="Calibri"/>
          <w:color w:val="1a1a1a"/>
          <w:sz w:val="21"/>
          <w:szCs w:val="21"/>
        </w:rPr>
        <w:t xml:space="preserve">Use the Platform to develop a competing product or service.</w:t>
      </w:r>
    </w:p>
    <w:p>
      <w:pPr>
        <w:pStyle w:val="Heading1"/>
        <w:spacing w:after="130" w:before="300"/>
      </w:pPr>
      <w:r>
        <w:rPr>
          <w:rFonts w:ascii="Calibri" w:cs="Calibri" w:eastAsia="Calibri" w:hAnsi="Calibri"/>
          <w:b/>
          <w:bCs/>
          <w:color w:val="00B4E6"/>
          <w:sz w:val="28"/>
          <w:szCs w:val="28"/>
        </w:rPr>
        <w:t xml:space="preserve">11.  </w:t>
      </w:r>
      <w:r>
        <w:rPr>
          <w:rFonts w:ascii="Calibri" w:cs="Calibri" w:eastAsia="Calibri" w:hAnsi="Calibri"/>
          <w:b/>
          <w:bCs/>
          <w:color w:val="042839"/>
          <w:sz w:val="28"/>
          <w:szCs w:val="28"/>
        </w:rPr>
        <w:t xml:space="preserve">Confidentiality</w:t>
      </w:r>
    </w:p>
    <w:p>
      <w:pPr>
        <w:spacing w:after="120" w:line="276"/>
      </w:pPr>
      <w:r>
        <w:rPr>
          <w:rFonts w:ascii="Calibri" w:cs="Calibri" w:eastAsia="Calibri" w:hAnsi="Calibri"/>
          <w:color w:val="1a1a1a"/>
          <w:sz w:val="21"/>
          <w:szCs w:val="21"/>
        </w:rPr>
        <w:t xml:space="preserve">Each party shall hold the other’s Confidential Information in strict confidence, use it solely to exercise rights under this Agreement, and disclose it only to employees and contractors with a need to know who are bound by comparable obligations. Confidentiality obligations survive termination for 5 years; obligations regarding trade secrets survive as long as the information remains a trade secret.</w:t>
      </w:r>
    </w:p>
    <w:p>
      <w:pPr>
        <w:pStyle w:val="Heading1"/>
        <w:spacing w:after="130" w:before="300"/>
      </w:pPr>
      <w:r>
        <w:rPr>
          <w:rFonts w:ascii="Calibri" w:cs="Calibri" w:eastAsia="Calibri" w:hAnsi="Calibri"/>
          <w:b/>
          <w:bCs/>
          <w:color w:val="00B4E6"/>
          <w:sz w:val="28"/>
          <w:szCs w:val="28"/>
        </w:rPr>
        <w:t xml:space="preserve">12.  </w:t>
      </w:r>
      <w:r>
        <w:rPr>
          <w:rFonts w:ascii="Calibri" w:cs="Calibri" w:eastAsia="Calibri" w:hAnsi="Calibri"/>
          <w:b/>
          <w:bCs/>
          <w:color w:val="042839"/>
          <w:sz w:val="28"/>
          <w:szCs w:val="28"/>
        </w:rPr>
        <w:t xml:space="preserve">Third-Party Services and Integrations</w:t>
      </w:r>
    </w:p>
    <w:p>
      <w:pPr>
        <w:spacing w:after="120" w:line="276"/>
      </w:pPr>
      <w:r>
        <w:rPr>
          <w:rFonts w:ascii="Calibri" w:cs="Calibri" w:eastAsia="Calibri" w:hAnsi="Calibri"/>
          <w:color w:val="1a1a1a"/>
          <w:sz w:val="21"/>
          <w:szCs w:val="21"/>
        </w:rPr>
        <w:t xml:space="preserve">The Platform integrates with QuickBooks Online, Amazon Web Services, Anthropic (Claude LLMs via AWS Bedrock), Vercel, Supabase, n8n Cloud, Stripe, and Slack. Customer is responsible for complying with applicable third-party terms. Echo 1 Labs is not liable for failures, inaccuracies, or security incidents arising from third-party services beyond its reasonable control.</w:t>
      </w:r>
    </w:p>
    <w:p>
      <w:r>
        <w:br w:type="page"/>
      </w:r>
    </w:p>
    <w:p>
      <w:pPr>
        <w:pStyle w:val="Heading1"/>
        <w:spacing w:after="130" w:before="300"/>
      </w:pPr>
      <w:r>
        <w:rPr>
          <w:rFonts w:ascii="Calibri" w:cs="Calibri" w:eastAsia="Calibri" w:hAnsi="Calibri"/>
          <w:b/>
          <w:bCs/>
          <w:color w:val="00B4E6"/>
          <w:sz w:val="28"/>
          <w:szCs w:val="28"/>
        </w:rPr>
        <w:t xml:space="preserve">13.  </w:t>
      </w:r>
      <w:r>
        <w:rPr>
          <w:rFonts w:ascii="Calibri" w:cs="Calibri" w:eastAsia="Calibri" w:hAnsi="Calibri"/>
          <w:b/>
          <w:bCs/>
          <w:color w:val="042839"/>
          <w:sz w:val="28"/>
          <w:szCs w:val="28"/>
        </w:rPr>
        <w:t xml:space="preserve">Warranties and Disclaimers</w:t>
      </w:r>
    </w:p>
    <w:p>
      <w:pPr>
        <w:pStyle w:val="Heading2"/>
        <w:spacing w:after="70" w:before="180"/>
      </w:pPr>
      <w:r>
        <w:rPr>
          <w:rFonts w:ascii="Calibri" w:cs="Calibri" w:eastAsia="Calibri" w:hAnsi="Calibri"/>
          <w:b/>
          <w:bCs/>
          <w:color w:val="042839"/>
          <w:sz w:val="23"/>
          <w:szCs w:val="23"/>
        </w:rPr>
        <w:t xml:space="preserve">13.1  Echo 1 Labs Warranties</w:t>
      </w:r>
    </w:p>
    <w:p>
      <w:pPr>
        <w:spacing w:after="120" w:line="276"/>
      </w:pPr>
      <w:r>
        <w:rPr>
          <w:rFonts w:ascii="Calibri" w:cs="Calibri" w:eastAsia="Calibri" w:hAnsi="Calibri"/>
          <w:color w:val="1a1a1a"/>
          <w:sz w:val="21"/>
          <w:szCs w:val="21"/>
        </w:rPr>
        <w:t xml:space="preserve">Echo 1 Labs warrants that: (a) it has authority to enter this Agreement; (b) the Platform will perform materially in accordance with the Documentation; and (c) it will take commercially reasonable measures to keep the Platform free of malware.</w:t>
      </w:r>
    </w:p>
    <w:p>
      <w:pPr>
        <w:pStyle w:val="Heading2"/>
        <w:spacing w:after="70" w:before="180"/>
      </w:pPr>
      <w:r>
        <w:rPr>
          <w:rFonts w:ascii="Calibri" w:cs="Calibri" w:eastAsia="Calibri" w:hAnsi="Calibri"/>
          <w:b/>
          <w:bCs/>
          <w:color w:val="042839"/>
          <w:sz w:val="23"/>
          <w:szCs w:val="23"/>
        </w:rPr>
        <w:t xml:space="preserve">13.2  Disclaimer of Implied Warranties</w:t>
      </w:r>
    </w:p>
    <w:p>
      <w:pPr>
        <w:pBdr>
          <w:left w:val="single" w:color="B00020" w:sz="18"/>
        </w:pBdr>
        <w:shd w:fill="FDECEA" w:val="clear"/>
        <w:spacing w:after="120" w:before="80"/>
      </w:pPr>
      <w:r>
        <w:rPr>
          <w:rFonts w:ascii="Calibri" w:cs="Calibri" w:eastAsia="Calibri" w:hAnsi="Calibri"/>
          <w:b/>
          <w:bCs/>
          <w:color w:val="7A0016"/>
          <w:sz w:val="18"/>
          <w:szCs w:val="18"/>
        </w:rPr>
        <w:t xml:space="preserve">EXCEPT AS IN SECTION 13.1, THE PLATFORM IS PROVIDED "AS IS" AND "AS AVAILABLE." ECHO 1 LABS DISCLAIMS ALL IMPLIED WARRANTIES OF MERCHANTABILITY, FITNESS FOR A PARTICULAR PURPOSE, TITLE, AND NON-INFRINGEMENT, AND DOES NOT WARRANT THAT THE PLATFORM WILL BE UNINTERRUPTED, ERROR-FREE, OR SECURE, OR THAT ANY AI OUTPUT WILL BE ACCURATE, COMPLETE, UNBIASED, OR SUITABLE FOR ANY PURPOSE.</w:t>
      </w:r>
    </w:p>
    <w:p>
      <w:pPr>
        <w:pStyle w:val="Heading2"/>
        <w:spacing w:after="70" w:before="180"/>
      </w:pPr>
      <w:r>
        <w:rPr>
          <w:rFonts w:ascii="Calibri" w:cs="Calibri" w:eastAsia="Calibri" w:hAnsi="Calibri"/>
          <w:b/>
          <w:bCs/>
          <w:color w:val="042839"/>
          <w:sz w:val="23"/>
          <w:szCs w:val="23"/>
        </w:rPr>
        <w:t xml:space="preserve">13.3  AI Output and Professional-Advice Disclaimer</w:t>
      </w:r>
    </w:p>
    <w:p>
      <w:pPr>
        <w:pBdr>
          <w:left w:val="single" w:color="B00020" w:sz="18"/>
        </w:pBdr>
        <w:shd w:fill="FDECEA" w:val="clear"/>
        <w:spacing w:after="120" w:before="80"/>
      </w:pPr>
      <w:r>
        <w:rPr>
          <w:rFonts w:ascii="Calibri" w:cs="Calibri" w:eastAsia="Calibri" w:hAnsi="Calibri"/>
          <w:b/>
          <w:bCs/>
          <w:color w:val="7A0016"/>
          <w:sz w:val="18"/>
          <w:szCs w:val="18"/>
        </w:rPr>
        <w:t xml:space="preserve">AI OUTPUTS DO NOT CONSTITUTE LEGAL, FINANCIAL, ACCOUNTING, TAX, ENGINEERING, OR OTHER LICENSED PROFESSIONAL ADVICE. LEDGER OUTPUTS ARE NOT THE SERVICES OF A LICENSED CPA, AND BID TITAN OUTPUTS ARE NOT THE DETERMINATIONS OF A LICENSED ENGINEER. CUSTOMER IS SOLELY RESPONSIBLE FOR INDEPENDENTLY VERIFYING ALL AI OUTPUTS AND FOR OBTAINING LICENSED PROFESSIONAL REVIEW WHERE REQUIRED BY LAW.</w:t>
      </w:r>
    </w:p>
    <w:p>
      <w:pPr>
        <w:pStyle w:val="Heading1"/>
        <w:spacing w:after="130" w:before="300"/>
      </w:pPr>
      <w:r>
        <w:rPr>
          <w:rFonts w:ascii="Calibri" w:cs="Calibri" w:eastAsia="Calibri" w:hAnsi="Calibri"/>
          <w:b/>
          <w:bCs/>
          <w:color w:val="00B4E6"/>
          <w:sz w:val="28"/>
          <w:szCs w:val="28"/>
        </w:rPr>
        <w:t xml:space="preserve">14.  </w:t>
      </w:r>
      <w:r>
        <w:rPr>
          <w:rFonts w:ascii="Calibri" w:cs="Calibri" w:eastAsia="Calibri" w:hAnsi="Calibri"/>
          <w:b/>
          <w:bCs/>
          <w:color w:val="042839"/>
          <w:sz w:val="28"/>
          <w:szCs w:val="28"/>
        </w:rPr>
        <w:t xml:space="preserve">Limitation of Liability</w:t>
      </w:r>
    </w:p>
    <w:p>
      <w:pPr>
        <w:pBdr>
          <w:left w:val="single" w:color="B00020" w:sz="18"/>
        </w:pBdr>
        <w:shd w:fill="FDECEA" w:val="clear"/>
        <w:spacing w:after="120" w:before="80"/>
      </w:pPr>
      <w:r>
        <w:rPr>
          <w:rFonts w:ascii="Calibri" w:cs="Calibri" w:eastAsia="Calibri" w:hAnsi="Calibri"/>
          <w:b/>
          <w:bCs/>
          <w:color w:val="7A0016"/>
          <w:sz w:val="18"/>
          <w:szCs w:val="18"/>
        </w:rPr>
        <w:t xml:space="preserve">IN NO EVENT SHALL ECHO 1 LABS BE LIABLE FOR ANY INDIRECT, INCIDENTAL, SPECIAL, CONSEQUENTIAL, EXEMPLARY, OR PUNITIVE DAMAGES, INCLUDING LOSS OF REVENUE, PROFITS, GOODWILL, OR DATA, REGARDLESS OF CAUSE OR FORESEEABILITY.</w:t>
      </w:r>
    </w:p>
    <w:p>
      <w:pPr>
        <w:spacing w:after="120" w:line="276"/>
      </w:pPr>
      <w:r>
        <w:rPr>
          <w:rFonts w:ascii="Calibri" w:cs="Calibri" w:eastAsia="Calibri" w:hAnsi="Calibri"/>
          <w:b/>
          <w:bCs/>
          <w:color w:val="1a1a1a"/>
          <w:sz w:val="21"/>
          <w:szCs w:val="21"/>
        </w:rPr>
        <w:t xml:space="preserve">General cap. </w:t>
      </w:r>
      <w:r>
        <w:rPr>
          <w:rFonts w:ascii="Calibri" w:cs="Calibri" w:eastAsia="Calibri" w:hAnsi="Calibri"/>
          <w:color w:val="1a1a1a"/>
          <w:sz w:val="21"/>
          <w:szCs w:val="21"/>
        </w:rPr>
        <w:t xml:space="preserve">Except for the Excluded Claims below, each party’s total aggregate liability shall not exceed the greater of (a) the total fees paid by Customer in the 12 months preceding the claim, or (b) the limit of the applicable insurance coverage required under Section 16.</w:t>
      </w:r>
    </w:p>
    <w:p>
      <w:pPr>
        <w:spacing w:after="120" w:line="276"/>
      </w:pPr>
      <w:r>
        <w:rPr>
          <w:rFonts w:ascii="Calibri" w:cs="Calibri" w:eastAsia="Calibri" w:hAnsi="Calibri"/>
          <w:b/>
          <w:bCs/>
          <w:color w:val="1a1a1a"/>
          <w:sz w:val="21"/>
          <w:szCs w:val="21"/>
        </w:rPr>
        <w:t xml:space="preserve">Excluded Claims (not subject to the general cap). </w:t>
      </w:r>
      <w:r>
        <w:rPr>
          <w:rFonts w:ascii="Calibri" w:cs="Calibri" w:eastAsia="Calibri" w:hAnsi="Calibri"/>
          <w:color w:val="1a1a1a"/>
          <w:sz w:val="21"/>
          <w:szCs w:val="21"/>
        </w:rPr>
        <w:t xml:space="preserve">The general cap does not apply to: (a) Customer’s payment obligations; (b) either party’s indemnification obligations under Section 15; (c) breach of confidentiality; (d) a party’s breach of its data-protection or data-security obligations; or (e) a party’s gross negligence or willful misconduct.</w:t>
      </w:r>
    </w:p>
    <w:p>
      <w:pPr>
        <w:spacing w:after="120" w:line="276"/>
      </w:pPr>
      <w:r>
        <w:rPr>
          <w:rFonts w:ascii="Calibri" w:cs="Calibri" w:eastAsia="Calibri" w:hAnsi="Calibri"/>
          <w:b/>
          <w:bCs/>
          <w:color w:val="1a1a1a"/>
          <w:sz w:val="21"/>
          <w:szCs w:val="21"/>
        </w:rPr>
        <w:t xml:space="preserve">AI Output claims. </w:t>
      </w:r>
      <w:r>
        <w:rPr>
          <w:rFonts w:ascii="Calibri" w:cs="Calibri" w:eastAsia="Calibri" w:hAnsi="Calibri"/>
          <w:color w:val="1a1a1a"/>
          <w:sz w:val="21"/>
          <w:szCs w:val="21"/>
        </w:rPr>
        <w:t xml:space="preserve">For claims arising from AI Outputs where Customer complied with the HITL requirements, Echo 1 Labs’s liability is capped at the greater of the fees paid for the specific product in the 12 months preceding the claim or the applicable Section 16 insurance limit. Where Customer bypassed HITL, Section 5.3 applies.</w:t>
      </w:r>
    </w:p>
    <w:p>
      <w:pPr>
        <w:pStyle w:val="Heading1"/>
        <w:spacing w:after="130" w:before="300"/>
      </w:pPr>
      <w:r>
        <w:rPr>
          <w:rFonts w:ascii="Calibri" w:cs="Calibri" w:eastAsia="Calibri" w:hAnsi="Calibri"/>
          <w:b/>
          <w:bCs/>
          <w:color w:val="00B4E6"/>
          <w:sz w:val="28"/>
          <w:szCs w:val="28"/>
        </w:rPr>
        <w:t xml:space="preserve">15.  </w:t>
      </w:r>
      <w:r>
        <w:rPr>
          <w:rFonts w:ascii="Calibri" w:cs="Calibri" w:eastAsia="Calibri" w:hAnsi="Calibri"/>
          <w:b/>
          <w:bCs/>
          <w:color w:val="042839"/>
          <w:sz w:val="28"/>
          <w:szCs w:val="28"/>
        </w:rPr>
        <w:t xml:space="preserve">Indemnification</w:t>
      </w:r>
    </w:p>
    <w:p>
      <w:pPr>
        <w:pStyle w:val="Heading2"/>
        <w:spacing w:after="70" w:before="180"/>
      </w:pPr>
      <w:r>
        <w:rPr>
          <w:rFonts w:ascii="Calibri" w:cs="Calibri" w:eastAsia="Calibri" w:hAnsi="Calibri"/>
          <w:b/>
          <w:bCs/>
          <w:color w:val="042839"/>
          <w:sz w:val="23"/>
          <w:szCs w:val="23"/>
        </w:rPr>
        <w:t xml:space="preserve">15.1  Customer’s Obligations</w:t>
      </w:r>
    </w:p>
    <w:p>
      <w:pPr>
        <w:spacing w:after="120" w:line="276"/>
      </w:pPr>
      <w:r>
        <w:rPr>
          <w:rFonts w:ascii="Calibri" w:cs="Calibri" w:eastAsia="Calibri" w:hAnsi="Calibri"/>
          <w:color w:val="1a1a1a"/>
          <w:sz w:val="21"/>
          <w:szCs w:val="21"/>
        </w:rPr>
        <w:t xml:space="preserve">Customer shall defend, indemnify, and hold harmless Echo 1 Labs from third-party claims arising from Customer’s violation of these Terms, Client Data, Customer’s failure to comply with HITL requirements, Customer’s use of AI Outputs without independent verification, or Customer’s negligence or willful misconduct.</w:t>
      </w:r>
    </w:p>
    <w:p>
      <w:pPr>
        <w:pStyle w:val="Heading2"/>
        <w:spacing w:after="70" w:before="180"/>
      </w:pPr>
      <w:r>
        <w:rPr>
          <w:rFonts w:ascii="Calibri" w:cs="Calibri" w:eastAsia="Calibri" w:hAnsi="Calibri"/>
          <w:b/>
          <w:bCs/>
          <w:color w:val="042839"/>
          <w:sz w:val="23"/>
          <w:szCs w:val="23"/>
        </w:rPr>
        <w:t xml:space="preserve">15.2  Echo 1 Labs’s Obligations</w:t>
      </w:r>
    </w:p>
    <w:p>
      <w:pPr>
        <w:spacing w:after="120" w:line="276"/>
      </w:pPr>
      <w:r>
        <w:rPr>
          <w:rFonts w:ascii="Calibri" w:cs="Calibri" w:eastAsia="Calibri" w:hAnsi="Calibri"/>
          <w:color w:val="1a1a1a"/>
          <w:sz w:val="21"/>
          <w:szCs w:val="21"/>
        </w:rPr>
        <w:t xml:space="preserve">Echo 1 Labs shall defend, indemnify, and hold harmless Customer from third-party claims that the Platform, as provided by Echo 1 Labs, infringes U.S. intellectual-property rights, provided Customer promptly notifies Echo 1 Labs and cooperates with the defense. This obligation excludes claims arising from Client Data, AI Outputs, Customer modifications, or combination of the Platform with items not supplied by Echo 1 Labs. If the Platform is or may be enjoined, Echo 1 Labs may, at its option, procure the right to continue use, replace or modify the infringing portion, or terminate the affected subscription and refund pre-paid, unused fees.</w:t>
      </w:r>
    </w:p>
    <w:p>
      <w:r>
        <w:br w:type="page"/>
      </w:r>
    </w:p>
    <w:p>
      <w:pPr>
        <w:pStyle w:val="Heading1"/>
        <w:spacing w:after="130" w:before="300"/>
      </w:pPr>
      <w:r>
        <w:rPr>
          <w:rFonts w:ascii="Calibri" w:cs="Calibri" w:eastAsia="Calibri" w:hAnsi="Calibri"/>
          <w:b/>
          <w:bCs/>
          <w:color w:val="00B4E6"/>
          <w:sz w:val="28"/>
          <w:szCs w:val="28"/>
        </w:rPr>
        <w:t xml:space="preserve">16.  </w:t>
      </w:r>
      <w:r>
        <w:rPr>
          <w:rFonts w:ascii="Calibri" w:cs="Calibri" w:eastAsia="Calibri" w:hAnsi="Calibri"/>
          <w:b/>
          <w:bCs/>
          <w:color w:val="042839"/>
          <w:sz w:val="28"/>
          <w:szCs w:val="28"/>
        </w:rPr>
        <w:t xml:space="preserve">Insurance</w:t>
      </w:r>
    </w:p>
    <w:p>
      <w:pPr>
        <w:spacing w:after="120" w:line="276"/>
      </w:pPr>
      <w:r>
        <w:rPr>
          <w:rFonts w:ascii="Calibri" w:cs="Calibri" w:eastAsia="Calibri" w:hAnsi="Calibri"/>
          <w:color w:val="1a1a1a"/>
          <w:sz w:val="21"/>
          <w:szCs w:val="21"/>
        </w:rPr>
        <w:t xml:space="preserve">During the term, Echo 1 Labs shall maintain, with insurers of recognized responsibility, at least the following coverage:</w:t>
      </w:r>
    </w:p>
    <w:p>
      <w:pPr>
        <w:pStyle w:val="ListParagraph"/>
        <w:numPr>
          <w:ilvl w:val="0"/>
          <w:numId w:val="2"/>
        </w:numPr>
        <w:spacing w:after="70" w:line="264"/>
      </w:pPr>
      <w:r>
        <w:rPr>
          <w:rFonts w:ascii="Calibri" w:cs="Calibri" w:eastAsia="Calibri" w:hAnsi="Calibri"/>
          <w:color w:val="1a1a1a"/>
          <w:sz w:val="21"/>
          <w:szCs w:val="21"/>
        </w:rPr>
        <w:t xml:space="preserve">Technology Errors &amp; Omissions / Professional Liability, including affirmative coverage for AI/LLM output errors, of at least $1,000,000 per claim.</w:t>
      </w:r>
    </w:p>
    <w:p>
      <w:pPr>
        <w:pStyle w:val="ListParagraph"/>
        <w:numPr>
          <w:ilvl w:val="0"/>
          <w:numId w:val="2"/>
        </w:numPr>
        <w:spacing w:after="70" w:line="264"/>
      </w:pPr>
      <w:r>
        <w:rPr>
          <w:rFonts w:ascii="Calibri" w:cs="Calibri" w:eastAsia="Calibri" w:hAnsi="Calibri"/>
          <w:color w:val="1a1a1a"/>
          <w:sz w:val="21"/>
          <w:szCs w:val="21"/>
        </w:rPr>
        <w:t xml:space="preserve">Cyber liability (first- and third-party), including breach response and dependent business interruption, of at least $1,000,000 per claim.</w:t>
      </w:r>
    </w:p>
    <w:p>
      <w:pPr>
        <w:pStyle w:val="ListParagraph"/>
        <w:numPr>
          <w:ilvl w:val="0"/>
          <w:numId w:val="2"/>
        </w:numPr>
        <w:spacing w:after="70" w:line="264"/>
      </w:pPr>
      <w:r>
        <w:rPr>
          <w:rFonts w:ascii="Calibri" w:cs="Calibri" w:eastAsia="Calibri" w:hAnsi="Calibri"/>
          <w:color w:val="1a1a1a"/>
          <w:sz w:val="21"/>
          <w:szCs w:val="21"/>
        </w:rPr>
        <w:t xml:space="preserve">Media / content liability for intellectual-property and defamation claims arising from AI Outputs (which may be provided within the Technology E&amp;O policy).</w:t>
      </w:r>
    </w:p>
    <w:p>
      <w:pPr>
        <w:pStyle w:val="ListParagraph"/>
        <w:numPr>
          <w:ilvl w:val="0"/>
          <w:numId w:val="2"/>
        </w:numPr>
        <w:spacing w:after="70" w:line="264"/>
      </w:pPr>
      <w:r>
        <w:rPr>
          <w:rFonts w:ascii="Calibri" w:cs="Calibri" w:eastAsia="Calibri" w:hAnsi="Calibri"/>
          <w:color w:val="1a1a1a"/>
          <w:sz w:val="21"/>
          <w:szCs w:val="21"/>
        </w:rPr>
        <w:t xml:space="preserve">Commercial General Liability of at least $1,000,000 per occurrence.</w:t>
      </w:r>
    </w:p>
    <w:p>
      <w:pPr>
        <w:spacing w:after="120" w:line="276"/>
      </w:pPr>
      <w:r>
        <w:rPr>
          <w:rFonts w:ascii="Calibri" w:cs="Calibri" w:eastAsia="Calibri" w:hAnsi="Calibri"/>
          <w:color w:val="1a1a1a"/>
          <w:sz w:val="21"/>
          <w:szCs w:val="21"/>
        </w:rPr>
        <w:t xml:space="preserve">On written request, Echo 1 Labs will provide a certificate of insurance. For enterprise engagements specified in an Order Form, Echo 1 Labs will name Customer as an additional insured where applicable, provide a waiver of subrogation, and give 30 days’ notice of cancellation. Insurance limits are not a cap on, and do not limit, either party’s liability under this Agreement.</w:t>
      </w:r>
    </w:p>
    <w:p>
      <w:pPr>
        <w:pStyle w:val="Heading1"/>
        <w:spacing w:after="130" w:before="300"/>
      </w:pPr>
      <w:r>
        <w:rPr>
          <w:rFonts w:ascii="Calibri" w:cs="Calibri" w:eastAsia="Calibri" w:hAnsi="Calibri"/>
          <w:b/>
          <w:bCs/>
          <w:color w:val="00B4E6"/>
          <w:sz w:val="28"/>
          <w:szCs w:val="28"/>
        </w:rPr>
        <w:t xml:space="preserve">17.  </w:t>
      </w:r>
      <w:r>
        <w:rPr>
          <w:rFonts w:ascii="Calibri" w:cs="Calibri" w:eastAsia="Calibri" w:hAnsi="Calibri"/>
          <w:b/>
          <w:bCs/>
          <w:color w:val="042839"/>
          <w:sz w:val="28"/>
          <w:szCs w:val="28"/>
        </w:rPr>
        <w:t xml:space="preserve">Data Protection and Privacy Compliance</w:t>
      </w:r>
    </w:p>
    <w:p>
      <w:pPr>
        <w:spacing w:after="120" w:line="276"/>
      </w:pPr>
      <w:r>
        <w:rPr>
          <w:rFonts w:ascii="Calibri" w:cs="Calibri" w:eastAsia="Calibri" w:hAnsi="Calibri"/>
          <w:color w:val="1a1a1a"/>
          <w:sz w:val="21"/>
          <w:szCs w:val="21"/>
        </w:rPr>
        <w:t xml:space="preserve">The parties’ processing of personal data is governed by the DPA, incorporated by reference. The following summarizes the allocation:</w:t>
      </w:r>
    </w:p>
    <w:tbl>
      <w:tblPr>
        <w:tblW w:type="dxa" w:w="9360"/>
        <w:tblBorders>
          <w:top w:val="single" w:color="BBBBBB" w:sz="4"/>
          <w:left w:val="single" w:color="BBBBBB" w:sz="4"/>
          <w:bottom w:val="single" w:color="BBBBBB" w:sz="4"/>
          <w:right w:val="single" w:color="BBBBBB" w:sz="4"/>
          <w:insideH w:val="single" w:color="CCCCCC" w:sz="2"/>
          <w:insideV w:val="single" w:color="CCCCCC" w:sz="2"/>
        </w:tblBorders>
      </w:tblPr>
      <w:tblGrid>
        <w:gridCol w:w="3120"/>
        <w:gridCol w:w="3120"/>
        <w:gridCol w:w="3120"/>
      </w:tblGrid>
      <w:tr>
        <w:trPr>
          <w:tblHeader/>
        </w:trPr>
        <w:tc>
          <w:tcPr>
            <w:tcW w:type="dxa" w:w="312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Framework</w:t>
            </w:r>
          </w:p>
        </w:tc>
        <w:tc>
          <w:tcPr>
            <w:tcW w:type="dxa" w:w="312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Echo 1 Labs Role</w:t>
            </w:r>
          </w:p>
        </w:tc>
        <w:tc>
          <w:tcPr>
            <w:tcW w:type="dxa" w:w="312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Key Obligation</w:t>
            </w:r>
          </w:p>
        </w:tc>
      </w:tr>
      <w:tr>
        <w:tc>
          <w:tcPr>
            <w:tcW w:type="dxa" w:w="3120"/>
            <w:tcMar>
              <w:top w:type="dxa" w:w="60"/>
              <w:left w:type="dxa" w:w="90"/>
              <w:bottom w:type="dxa" w:w="60"/>
              <w:right w:type="dxa" w:w="90"/>
            </w:tcMar>
          </w:tcPr>
          <w:p>
            <w:r>
              <w:rPr>
                <w:rFonts w:ascii="Calibri" w:cs="Calibri" w:eastAsia="Calibri" w:hAnsi="Calibri"/>
                <w:b w:val="false"/>
                <w:bCs w:val="false"/>
                <w:color w:val="1a1a1a"/>
                <w:sz w:val="19"/>
                <w:szCs w:val="19"/>
              </w:rPr>
              <w:t xml:space="preserve">Texas TDPSA</w:t>
            </w:r>
          </w:p>
        </w:tc>
        <w:tc>
          <w:tcPr>
            <w:tcW w:type="dxa" w:w="3120"/>
            <w:tcMar>
              <w:top w:type="dxa" w:w="60"/>
              <w:left w:type="dxa" w:w="90"/>
              <w:bottom w:type="dxa" w:w="60"/>
              <w:right w:type="dxa" w:w="90"/>
            </w:tcMar>
          </w:tcPr>
          <w:p>
            <w:r>
              <w:rPr>
                <w:rFonts w:ascii="Calibri" w:cs="Calibri" w:eastAsia="Calibri" w:hAnsi="Calibri"/>
                <w:b w:val="false"/>
                <w:bCs w:val="false"/>
                <w:color w:val="1a1a1a"/>
                <w:sz w:val="19"/>
                <w:szCs w:val="19"/>
              </w:rPr>
              <w:t xml:space="preserve">Processor (for Client Data)</w:t>
            </w:r>
          </w:p>
        </w:tc>
        <w:tc>
          <w:tcPr>
            <w:tcW w:type="dxa" w:w="3120"/>
            <w:tcMar>
              <w:top w:type="dxa" w:w="60"/>
              <w:left w:type="dxa" w:w="90"/>
              <w:bottom w:type="dxa" w:w="60"/>
              <w:right w:type="dxa" w:w="90"/>
            </w:tcMar>
          </w:tcPr>
          <w:p>
            <w:r>
              <w:rPr>
                <w:rFonts w:ascii="Calibri" w:cs="Calibri" w:eastAsia="Calibri" w:hAnsi="Calibri"/>
                <w:b w:val="false"/>
                <w:bCs w:val="false"/>
                <w:color w:val="1a1a1a"/>
                <w:sz w:val="19"/>
                <w:szCs w:val="19"/>
              </w:rPr>
              <w:t xml:space="preserve">Process only on Customer instructions; support consumer-rights requests within 45 days</w:t>
            </w:r>
          </w:p>
        </w:tc>
      </w:tr>
      <w:tr>
        <w:tc>
          <w:tcPr>
            <w:tcW w:type="dxa" w:w="312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Texas TRAIGA</w:t>
            </w:r>
          </w:p>
        </w:tc>
        <w:tc>
          <w:tcPr>
            <w:tcW w:type="dxa" w:w="312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AI Deployer</w:t>
            </w:r>
          </w:p>
        </w:tc>
        <w:tc>
          <w:tcPr>
            <w:tcW w:type="dxa" w:w="312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Refrain from prohibited AI uses; maintain AI governance documentation and safeguards</w:t>
            </w:r>
          </w:p>
        </w:tc>
      </w:tr>
      <w:tr>
        <w:tc>
          <w:tcPr>
            <w:tcW w:type="dxa" w:w="3120"/>
            <w:tcMar>
              <w:top w:type="dxa" w:w="60"/>
              <w:left w:type="dxa" w:w="90"/>
              <w:bottom w:type="dxa" w:w="60"/>
              <w:right w:type="dxa" w:w="90"/>
            </w:tcMar>
          </w:tcPr>
          <w:p>
            <w:r>
              <w:rPr>
                <w:rFonts w:ascii="Calibri" w:cs="Calibri" w:eastAsia="Calibri" w:hAnsi="Calibri"/>
                <w:b w:val="false"/>
                <w:bCs w:val="false"/>
                <w:color w:val="1a1a1a"/>
                <w:sz w:val="19"/>
                <w:szCs w:val="19"/>
              </w:rPr>
              <w:t xml:space="preserve">CCPA/CPRA</w:t>
            </w:r>
          </w:p>
        </w:tc>
        <w:tc>
          <w:tcPr>
            <w:tcW w:type="dxa" w:w="3120"/>
            <w:tcMar>
              <w:top w:type="dxa" w:w="60"/>
              <w:left w:type="dxa" w:w="90"/>
              <w:bottom w:type="dxa" w:w="60"/>
              <w:right w:type="dxa" w:w="90"/>
            </w:tcMar>
          </w:tcPr>
          <w:p>
            <w:r>
              <w:rPr>
                <w:rFonts w:ascii="Calibri" w:cs="Calibri" w:eastAsia="Calibri" w:hAnsi="Calibri"/>
                <w:b w:val="false"/>
                <w:bCs w:val="false"/>
                <w:color w:val="1a1a1a"/>
                <w:sz w:val="19"/>
                <w:szCs w:val="19"/>
              </w:rPr>
              <w:t xml:space="preserve">Service Provider</w:t>
            </w:r>
          </w:p>
        </w:tc>
        <w:tc>
          <w:tcPr>
            <w:tcW w:type="dxa" w:w="3120"/>
            <w:tcMar>
              <w:top w:type="dxa" w:w="60"/>
              <w:left w:type="dxa" w:w="90"/>
              <w:bottom w:type="dxa" w:w="60"/>
              <w:right w:type="dxa" w:w="90"/>
            </w:tcMar>
          </w:tcPr>
          <w:p>
            <w:r>
              <w:rPr>
                <w:rFonts w:ascii="Calibri" w:cs="Calibri" w:eastAsia="Calibri" w:hAnsi="Calibri"/>
                <w:b w:val="false"/>
                <w:bCs w:val="false"/>
                <w:color w:val="1a1a1a"/>
                <w:sz w:val="19"/>
                <w:szCs w:val="19"/>
              </w:rPr>
              <w:t xml:space="preserve">No sale or sharing of personal information; comply with ADMT obligations as they phase in from Jan 1, 2027</w:t>
            </w:r>
          </w:p>
        </w:tc>
      </w:tr>
      <w:tr>
        <w:tc>
          <w:tcPr>
            <w:tcW w:type="dxa" w:w="312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GDPR / UK GDPR</w:t>
            </w:r>
          </w:p>
        </w:tc>
        <w:tc>
          <w:tcPr>
            <w:tcW w:type="dxa" w:w="312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Processor</w:t>
            </w:r>
          </w:p>
        </w:tc>
        <w:tc>
          <w:tcPr>
            <w:tcW w:type="dxa" w:w="312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Process per Standard Contractual Clauses; support data-subject rights; assist with breach notification</w:t>
            </w:r>
          </w:p>
        </w:tc>
      </w:tr>
    </w:tbl>
    <w:p>
      <w:pPr>
        <w:spacing w:after="80"/>
      </w:pPr>
    </w:p>
    <w:p>
      <w:pPr>
        <w:spacing w:after="120" w:line="276"/>
      </w:pPr>
      <w:r>
        <w:rPr>
          <w:rFonts w:ascii="Calibri" w:cs="Calibri" w:eastAsia="Calibri" w:hAnsi="Calibri"/>
          <w:color w:val="1a1a1a"/>
          <w:sz w:val="21"/>
          <w:szCs w:val="21"/>
        </w:rPr>
        <w:t xml:space="preserve">Where Echo 1 Labs is a processor, it will notify Customer without undue delay, and no later than 72 hours, after confirming a security incident affecting personal data, so Customer can meet its own statutory deadlines. All AI processing includes a mandatory HITL checkpoint for any processing that could produce legally significant effects on individuals.</w:t>
      </w:r>
    </w:p>
    <w:p>
      <w:pPr>
        <w:pStyle w:val="Heading1"/>
        <w:spacing w:after="130" w:before="300"/>
      </w:pPr>
      <w:r>
        <w:rPr>
          <w:rFonts w:ascii="Calibri" w:cs="Calibri" w:eastAsia="Calibri" w:hAnsi="Calibri"/>
          <w:b/>
          <w:bCs/>
          <w:color w:val="00B4E6"/>
          <w:sz w:val="28"/>
          <w:szCs w:val="28"/>
        </w:rPr>
        <w:t xml:space="preserve">18.  </w:t>
      </w:r>
      <w:r>
        <w:rPr>
          <w:rFonts w:ascii="Calibri" w:cs="Calibri" w:eastAsia="Calibri" w:hAnsi="Calibri"/>
          <w:b/>
          <w:bCs/>
          <w:color w:val="042839"/>
          <w:sz w:val="28"/>
          <w:szCs w:val="28"/>
        </w:rPr>
        <w:t xml:space="preserve">Service Levels</w:t>
      </w:r>
    </w:p>
    <w:p>
      <w:pPr>
        <w:spacing w:after="120" w:line="276"/>
      </w:pPr>
      <w:r>
        <w:rPr>
          <w:rFonts w:ascii="Calibri" w:cs="Calibri" w:eastAsia="Calibri" w:hAnsi="Calibri"/>
          <w:color w:val="1a1a1a"/>
          <w:sz w:val="21"/>
          <w:szCs w:val="21"/>
        </w:rPr>
        <w:t xml:space="preserve">Echo 1 Labs targets 99.5% monthly Platform availability, excluding scheduled maintenance and events beyond its reasonable control. Any service-level credits, measurement methodology, and support-response targets applicable to an enterprise engagement are as set out in the applicable Order Form or SLA exhibit. Service-level credits are Customer’s exclusive remedy for availability shortfalls.</w:t>
      </w:r>
    </w:p>
    <w:p>
      <w:r>
        <w:br w:type="page"/>
      </w:r>
    </w:p>
    <w:p>
      <w:pPr>
        <w:pStyle w:val="Heading1"/>
        <w:spacing w:after="130" w:before="300"/>
      </w:pPr>
      <w:r>
        <w:rPr>
          <w:rFonts w:ascii="Calibri" w:cs="Calibri" w:eastAsia="Calibri" w:hAnsi="Calibri"/>
          <w:b/>
          <w:bCs/>
          <w:color w:val="00B4E6"/>
          <w:sz w:val="28"/>
          <w:szCs w:val="28"/>
        </w:rPr>
        <w:t xml:space="preserve">19.  </w:t>
      </w:r>
      <w:r>
        <w:rPr>
          <w:rFonts w:ascii="Calibri" w:cs="Calibri" w:eastAsia="Calibri" w:hAnsi="Calibri"/>
          <w:b/>
          <w:bCs/>
          <w:color w:val="042839"/>
          <w:sz w:val="28"/>
          <w:szCs w:val="28"/>
        </w:rPr>
        <w:t xml:space="preserve">Term, Suspension, and Termination</w:t>
      </w:r>
    </w:p>
    <w:p>
      <w:pPr>
        <w:spacing w:after="120" w:line="276"/>
      </w:pPr>
      <w:r>
        <w:rPr>
          <w:rFonts w:ascii="Calibri" w:cs="Calibri" w:eastAsia="Calibri" w:hAnsi="Calibri"/>
          <w:color w:val="1a1a1a"/>
          <w:sz w:val="21"/>
          <w:szCs w:val="21"/>
        </w:rPr>
        <w:t xml:space="preserve">Subscriptions auto-renew annually unless either party provides 30 days’ notice of non-renewal. Either party may terminate for material breach uncured after 30 days’ notice. Echo 1 Labs may terminate immediately for violations of Section 5.3 (HITL bypass) or Section 7.1 (prohibited activities). Upon termination, Customer has 30 days to export Client Data; thereafter, Echo 1 Labs will delete or de-identify it in the ordinary course.</w:t>
      </w:r>
    </w:p>
    <w:p>
      <w:pPr>
        <w:pStyle w:val="Heading1"/>
        <w:spacing w:after="130" w:before="300"/>
      </w:pPr>
      <w:r>
        <w:rPr>
          <w:rFonts w:ascii="Calibri" w:cs="Calibri" w:eastAsia="Calibri" w:hAnsi="Calibri"/>
          <w:b/>
          <w:bCs/>
          <w:color w:val="00B4E6"/>
          <w:sz w:val="28"/>
          <w:szCs w:val="28"/>
        </w:rPr>
        <w:t xml:space="preserve">20.  </w:t>
      </w:r>
      <w:r>
        <w:rPr>
          <w:rFonts w:ascii="Calibri" w:cs="Calibri" w:eastAsia="Calibri" w:hAnsi="Calibri"/>
          <w:b/>
          <w:bCs/>
          <w:color w:val="042839"/>
          <w:sz w:val="28"/>
          <w:szCs w:val="28"/>
        </w:rPr>
        <w:t xml:space="preserve">Governing Law and Dispute Resolution</w:t>
      </w:r>
    </w:p>
    <w:p>
      <w:pPr>
        <w:spacing w:after="120" w:line="276"/>
      </w:pPr>
      <w:r>
        <w:rPr>
          <w:rFonts w:ascii="Calibri" w:cs="Calibri" w:eastAsia="Calibri" w:hAnsi="Calibri"/>
          <w:color w:val="1a1a1a"/>
          <w:sz w:val="21"/>
          <w:szCs w:val="21"/>
        </w:rPr>
        <w:t xml:space="preserve">This Agreement is governed by Texas law. Disputes are first addressed through 30 days of good-faith negotiation. Thereafter, disputes are resolved by binding arbitration under the AAA Commercial Rules seated in Dallas County, Texas. Notwithstanding the foregoing, either party may seek injunctive or other equitable relief, or protect its intellectual-property or confidential information, in a court of competent jurisdiction.</w:t>
      </w:r>
    </w:p>
    <w:p>
      <w:pPr>
        <w:pBdr>
          <w:left w:val="single" w:color="B00020" w:sz="18"/>
        </w:pBdr>
        <w:shd w:fill="FDECEA" w:val="clear"/>
        <w:spacing w:after="120" w:before="80"/>
      </w:pPr>
      <w:r>
        <w:rPr>
          <w:rFonts w:ascii="Calibri" w:cs="Calibri" w:eastAsia="Calibri" w:hAnsi="Calibri"/>
          <w:b/>
          <w:bCs/>
          <w:color w:val="7A0016"/>
          <w:sz w:val="18"/>
          <w:szCs w:val="18"/>
        </w:rPr>
        <w:t xml:space="preserve">CLASS ACTION WAIVER: EACH PARTY WAIVES ANY RIGHT TO BRING OR PARTICIPATE IN A CLASS ACTION, COLLECTIVE ACTION, OR REPRESENTATIVE PROCEEDING. ALL DISPUTES SHALL BE RESOLVED ONLY ON AN INDIVIDUAL BASIS.</w:t>
      </w:r>
    </w:p>
    <w:p>
      <w:pPr>
        <w:pStyle w:val="Heading1"/>
        <w:spacing w:after="130" w:before="300"/>
      </w:pPr>
      <w:r>
        <w:rPr>
          <w:rFonts w:ascii="Calibri" w:cs="Calibri" w:eastAsia="Calibri" w:hAnsi="Calibri"/>
          <w:b/>
          <w:bCs/>
          <w:color w:val="00B4E6"/>
          <w:sz w:val="28"/>
          <w:szCs w:val="28"/>
        </w:rPr>
        <w:t xml:space="preserve">21.  </w:t>
      </w:r>
      <w:r>
        <w:rPr>
          <w:rFonts w:ascii="Calibri" w:cs="Calibri" w:eastAsia="Calibri" w:hAnsi="Calibri"/>
          <w:b/>
          <w:bCs/>
          <w:color w:val="042839"/>
          <w:sz w:val="28"/>
          <w:szCs w:val="28"/>
        </w:rPr>
        <w:t xml:space="preserve">Miscellaneous and General Provisions</w:t>
      </w:r>
    </w:p>
    <w:p>
      <w:pPr>
        <w:pStyle w:val="ListParagraph"/>
        <w:numPr>
          <w:ilvl w:val="0"/>
          <w:numId w:val="2"/>
        </w:numPr>
        <w:spacing w:after="70" w:line="264"/>
      </w:pPr>
      <w:r>
        <w:rPr>
          <w:rFonts w:ascii="Calibri" w:cs="Calibri" w:eastAsia="Calibri" w:hAnsi="Calibri"/>
          <w:color w:val="1a1a1a"/>
          <w:sz w:val="21"/>
          <w:szCs w:val="21"/>
        </w:rPr>
        <w:t xml:space="preserve">Entire Agreement: These Terms plus Order Forms, SOWs, the DPA, and Exhibit A constitute the entire agreement between the parties.</w:t>
      </w:r>
    </w:p>
    <w:p>
      <w:pPr>
        <w:pStyle w:val="ListParagraph"/>
        <w:numPr>
          <w:ilvl w:val="0"/>
          <w:numId w:val="2"/>
        </w:numPr>
        <w:spacing w:after="70" w:line="264"/>
      </w:pPr>
      <w:r>
        <w:rPr>
          <w:rFonts w:ascii="Calibri" w:cs="Calibri" w:eastAsia="Calibri" w:hAnsi="Calibri"/>
          <w:color w:val="1a1a1a"/>
          <w:sz w:val="21"/>
          <w:szCs w:val="21"/>
        </w:rPr>
        <w:t xml:space="preserve">Amendment: Echo 1 Labs may modify these Terms with 30 days’ notice. Material changes take effect at the next renewal term.</w:t>
      </w:r>
    </w:p>
    <w:p>
      <w:pPr>
        <w:pStyle w:val="ListParagraph"/>
        <w:numPr>
          <w:ilvl w:val="0"/>
          <w:numId w:val="2"/>
        </w:numPr>
        <w:spacing w:after="70" w:line="264"/>
      </w:pPr>
      <w:r>
        <w:rPr>
          <w:rFonts w:ascii="Calibri" w:cs="Calibri" w:eastAsia="Calibri" w:hAnsi="Calibri"/>
          <w:color w:val="1a1a1a"/>
          <w:sz w:val="21"/>
          <w:szCs w:val="21"/>
        </w:rPr>
        <w:t xml:space="preserve">Assignment: Customer may not assign without consent; assignment is permitted for mergers or acquisitions with 30 days’ notice.</w:t>
      </w:r>
    </w:p>
    <w:p>
      <w:pPr>
        <w:pStyle w:val="ListParagraph"/>
        <w:numPr>
          <w:ilvl w:val="0"/>
          <w:numId w:val="2"/>
        </w:numPr>
        <w:spacing w:after="70" w:line="264"/>
      </w:pPr>
      <w:r>
        <w:rPr>
          <w:rFonts w:ascii="Calibri" w:cs="Calibri" w:eastAsia="Calibri" w:hAnsi="Calibri"/>
          <w:color w:val="1a1a1a"/>
          <w:sz w:val="21"/>
          <w:szCs w:val="21"/>
        </w:rPr>
        <w:t xml:space="preserve">Force Majeure: Neither party is liable for events beyond its reasonable control (excluding payment obligations).</w:t>
      </w:r>
    </w:p>
    <w:p>
      <w:pPr>
        <w:pStyle w:val="ListParagraph"/>
        <w:numPr>
          <w:ilvl w:val="0"/>
          <w:numId w:val="2"/>
        </w:numPr>
        <w:spacing w:after="70" w:line="264"/>
      </w:pPr>
      <w:r>
        <w:rPr>
          <w:rFonts w:ascii="Calibri" w:cs="Calibri" w:eastAsia="Calibri" w:hAnsi="Calibri"/>
          <w:color w:val="1a1a1a"/>
          <w:sz w:val="21"/>
          <w:szCs w:val="21"/>
        </w:rPr>
        <w:t xml:space="preserve">Severability: Invalid provisions are modified to the minimum extent necessary; the remainder continues in full force.</w:t>
      </w:r>
    </w:p>
    <w:p>
      <w:pPr>
        <w:pStyle w:val="ListParagraph"/>
        <w:numPr>
          <w:ilvl w:val="0"/>
          <w:numId w:val="2"/>
        </w:numPr>
        <w:spacing w:after="70" w:line="264"/>
      </w:pPr>
      <w:r>
        <w:rPr>
          <w:rFonts w:ascii="Calibri" w:cs="Calibri" w:eastAsia="Calibri" w:hAnsi="Calibri"/>
          <w:color w:val="1a1a1a"/>
          <w:sz w:val="21"/>
          <w:szCs w:val="21"/>
        </w:rPr>
        <w:t xml:space="preserve">Independent Contractors: No partnership, joint venture, agency, or employment relationship is created.</w:t>
      </w:r>
    </w:p>
    <w:p>
      <w:pPr>
        <w:pStyle w:val="ListParagraph"/>
        <w:numPr>
          <w:ilvl w:val="0"/>
          <w:numId w:val="2"/>
        </w:numPr>
        <w:spacing w:after="70" w:line="264"/>
      </w:pPr>
      <w:r>
        <w:rPr>
          <w:rFonts w:ascii="Calibri" w:cs="Calibri" w:eastAsia="Calibri" w:hAnsi="Calibri"/>
          <w:color w:val="1a1a1a"/>
          <w:sz w:val="21"/>
          <w:szCs w:val="21"/>
        </w:rPr>
        <w:t xml:space="preserve">Counterparts &amp; E-Signatures: Valid under the Texas UETA (Tex. Bus. &amp; Com. Code Ch. 322) and the federal E-SIGN Act.</w:t>
      </w:r>
    </w:p>
    <w:p>
      <w:r>
        <w:br w:type="page"/>
      </w:r>
    </w:p>
    <w:p>
      <w:pPr>
        <w:pStyle w:val="Heading1"/>
        <w:spacing w:after="130" w:before="300"/>
      </w:pPr>
      <w:r>
        <w:rPr>
          <w:rFonts w:ascii="Calibri" w:cs="Calibri" w:eastAsia="Calibri" w:hAnsi="Calibri"/>
          <w:b/>
          <w:bCs/>
          <w:color w:val="00B4E6"/>
          <w:sz w:val="28"/>
          <w:szCs w:val="28"/>
        </w:rPr>
        <w:t xml:space="preserve">22.  </w:t>
      </w:r>
      <w:r>
        <w:rPr>
          <w:rFonts w:ascii="Calibri" w:cs="Calibri" w:eastAsia="Calibri" w:hAnsi="Calibri"/>
          <w:b/>
          <w:bCs/>
          <w:color w:val="042839"/>
          <w:sz w:val="28"/>
          <w:szCs w:val="28"/>
        </w:rPr>
        <w:t xml:space="preserve">Contact and Notice Information</w:t>
      </w:r>
    </w:p>
    <w:tbl>
      <w:tblPr>
        <w:tblW w:type="dxa" w:w="9360"/>
        <w:tblBorders>
          <w:top w:val="single" w:color="BBBBBB" w:sz="4"/>
          <w:left w:val="single" w:color="BBBBBB" w:sz="4"/>
          <w:bottom w:val="single" w:color="BBBBBB" w:sz="4"/>
          <w:right w:val="single" w:color="BBBBBB" w:sz="4"/>
          <w:insideH w:val="single" w:color="CCCCCC" w:sz="2"/>
          <w:insideV w:val="single" w:color="CCCCCC" w:sz="2"/>
        </w:tblBorders>
      </w:tblPr>
      <w:tblGrid>
        <w:gridCol w:w="2600"/>
        <w:gridCol w:w="6760"/>
      </w:tblGrid>
      <w:tr>
        <w:trPr>
          <w:tblHeader/>
        </w:trPr>
        <w:tc>
          <w:tcPr>
            <w:tcW w:type="dxa" w:w="260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Channel</w:t>
            </w:r>
          </w:p>
        </w:tc>
        <w:tc>
          <w:tcPr>
            <w:tcW w:type="dxa" w:w="676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Detail</w:t>
            </w:r>
          </w:p>
        </w:tc>
      </w:tr>
      <w:tr>
        <w:tc>
          <w:tcPr>
            <w:tcW w:type="dxa" w:w="2600"/>
            <w:tcMar>
              <w:top w:type="dxa" w:w="60"/>
              <w:left w:type="dxa" w:w="90"/>
              <w:bottom w:type="dxa" w:w="60"/>
              <w:right w:type="dxa" w:w="90"/>
            </w:tcMar>
          </w:tcPr>
          <w:p>
            <w:r>
              <w:rPr>
                <w:rFonts w:ascii="Calibri" w:cs="Calibri" w:eastAsia="Calibri" w:hAnsi="Calibri"/>
                <w:b w:val="false"/>
                <w:bCs w:val="false"/>
                <w:color w:val="1a1a1a"/>
                <w:sz w:val="19"/>
                <w:szCs w:val="19"/>
              </w:rPr>
              <w:t xml:space="preserve">Legal / General Counsel</w:t>
            </w:r>
          </w:p>
        </w:tc>
        <w:tc>
          <w:tcPr>
            <w:tcW w:type="dxa" w:w="6760"/>
            <w:tcMar>
              <w:top w:type="dxa" w:w="60"/>
              <w:left w:type="dxa" w:w="90"/>
              <w:bottom w:type="dxa" w:w="60"/>
              <w:right w:type="dxa" w:w="90"/>
            </w:tcMar>
          </w:tcPr>
          <w:p>
            <w:r>
              <w:rPr>
                <w:rFonts w:ascii="Calibri" w:cs="Calibri" w:eastAsia="Calibri" w:hAnsi="Calibri"/>
                <w:b w:val="false"/>
                <w:bCs w:val="false"/>
                <w:color w:val="1a1a1a"/>
                <w:sz w:val="19"/>
                <w:szCs w:val="19"/>
              </w:rPr>
              <w:t xml:space="preserve">legal@echo1labs.com</w:t>
            </w:r>
          </w:p>
        </w:tc>
      </w:tr>
      <w:tr>
        <w:tc>
          <w:tcPr>
            <w:tcW w:type="dxa" w:w="26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Privacy / Data Rights</w:t>
            </w:r>
          </w:p>
        </w:tc>
        <w:tc>
          <w:tcPr>
            <w:tcW w:type="dxa" w:w="67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privacy@echo1labs.com</w:t>
            </w:r>
          </w:p>
        </w:tc>
      </w:tr>
      <w:tr>
        <w:tc>
          <w:tcPr>
            <w:tcW w:type="dxa" w:w="2600"/>
            <w:tcMar>
              <w:top w:type="dxa" w:w="60"/>
              <w:left w:type="dxa" w:w="90"/>
              <w:bottom w:type="dxa" w:w="60"/>
              <w:right w:type="dxa" w:w="90"/>
            </w:tcMar>
          </w:tcPr>
          <w:p>
            <w:r>
              <w:rPr>
                <w:rFonts w:ascii="Calibri" w:cs="Calibri" w:eastAsia="Calibri" w:hAnsi="Calibri"/>
                <w:b w:val="false"/>
                <w:bCs w:val="false"/>
                <w:color w:val="1a1a1a"/>
                <w:sz w:val="19"/>
                <w:szCs w:val="19"/>
              </w:rPr>
              <w:t xml:space="preserve">Billing</w:t>
            </w:r>
          </w:p>
        </w:tc>
        <w:tc>
          <w:tcPr>
            <w:tcW w:type="dxa" w:w="6760"/>
            <w:tcMar>
              <w:top w:type="dxa" w:w="60"/>
              <w:left w:type="dxa" w:w="90"/>
              <w:bottom w:type="dxa" w:w="60"/>
              <w:right w:type="dxa" w:w="90"/>
            </w:tcMar>
          </w:tcPr>
          <w:p>
            <w:r>
              <w:rPr>
                <w:rFonts w:ascii="Calibri" w:cs="Calibri" w:eastAsia="Calibri" w:hAnsi="Calibri"/>
                <w:b w:val="false"/>
                <w:bCs w:val="false"/>
                <w:color w:val="1a1a1a"/>
                <w:sz w:val="19"/>
                <w:szCs w:val="19"/>
              </w:rPr>
              <w:t xml:space="preserve">billing@echo1labs.com</w:t>
            </w:r>
          </w:p>
        </w:tc>
      </w:tr>
      <w:tr>
        <w:tc>
          <w:tcPr>
            <w:tcW w:type="dxa" w:w="260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Registered Address</w:t>
            </w:r>
          </w:p>
        </w:tc>
        <w:tc>
          <w:tcPr>
            <w:tcW w:type="dxa" w:w="676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Mingma Inc (d/b/a Echo 1 Labs), 103 Meyersville Rd, Cuero, TX 77954</w:t>
            </w:r>
          </w:p>
        </w:tc>
      </w:tr>
    </w:tbl>
    <w:p>
      <w:pPr>
        <w:spacing w:after="80"/>
      </w:pPr>
    </w:p>
    <w:p>
      <w:pPr>
        <w:pStyle w:val="Heading1"/>
        <w:spacing w:after="130" w:before="300"/>
      </w:pPr>
      <w:r>
        <w:rPr>
          <w:rFonts w:ascii="Calibri" w:cs="Calibri" w:eastAsia="Calibri" w:hAnsi="Calibri"/>
          <w:b/>
          <w:bCs/>
          <w:color w:val="00B4E6"/>
          <w:sz w:val="28"/>
          <w:szCs w:val="28"/>
        </w:rPr>
        <w:t xml:space="preserve"/>
      </w:r>
      <w:r>
        <w:rPr>
          <w:rFonts w:ascii="Calibri" w:cs="Calibri" w:eastAsia="Calibri" w:hAnsi="Calibri"/>
          <w:b/>
          <w:bCs/>
          <w:color w:val="042839"/>
          <w:sz w:val="28"/>
          <w:szCs w:val="28"/>
        </w:rPr>
        <w:t xml:space="preserve">Exhibit A — AI Policy Guardrails</w:t>
      </w:r>
    </w:p>
    <w:p>
      <w:pPr>
        <w:spacing w:after="120" w:line="276"/>
      </w:pPr>
      <w:r>
        <w:rPr>
          <w:rFonts w:ascii="Calibri" w:cs="Calibri" w:eastAsia="Calibri" w:hAnsi="Calibri"/>
          <w:color w:val="1a1a1a"/>
          <w:sz w:val="21"/>
          <w:szCs w:val="21"/>
        </w:rPr>
        <w:t xml:space="preserve">This Exhibit A sets the default Policy Guardrails governing AI Agent autonomy. Order Forms may tighten, but not loosen, these defaults.</w:t>
      </w:r>
    </w:p>
    <w:tbl>
      <w:tblPr>
        <w:tblW w:type="dxa" w:w="9360"/>
        <w:tblBorders>
          <w:top w:val="single" w:color="BBBBBB" w:sz="4"/>
          <w:left w:val="single" w:color="BBBBBB" w:sz="4"/>
          <w:bottom w:val="single" w:color="BBBBBB" w:sz="4"/>
          <w:right w:val="single" w:color="BBBBBB" w:sz="4"/>
          <w:insideH w:val="single" w:color="CCCCCC" w:sz="2"/>
          <w:insideV w:val="single" w:color="CCCCCC" w:sz="2"/>
        </w:tblBorders>
      </w:tblPr>
      <w:tblGrid>
        <w:gridCol w:w="3120"/>
        <w:gridCol w:w="3120"/>
        <w:gridCol w:w="3120"/>
      </w:tblGrid>
      <w:tr>
        <w:trPr>
          <w:tblHeader/>
        </w:trPr>
        <w:tc>
          <w:tcPr>
            <w:tcW w:type="dxa" w:w="312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Action Class</w:t>
            </w:r>
          </w:p>
        </w:tc>
        <w:tc>
          <w:tcPr>
            <w:tcW w:type="dxa" w:w="312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Autonomy</w:t>
            </w:r>
          </w:p>
        </w:tc>
        <w:tc>
          <w:tcPr>
            <w:tcW w:type="dxa" w:w="3120"/>
            <w:shd w:fill="042839" w:val="clear"/>
            <w:tcMar>
              <w:top w:type="dxa" w:w="60"/>
              <w:left w:type="dxa" w:w="90"/>
              <w:bottom w:type="dxa" w:w="60"/>
              <w:right w:type="dxa" w:w="90"/>
            </w:tcMar>
          </w:tcPr>
          <w:p>
            <w:r>
              <w:rPr>
                <w:rFonts w:ascii="Calibri" w:cs="Calibri" w:eastAsia="Calibri" w:hAnsi="Calibri"/>
                <w:b/>
                <w:bCs/>
                <w:color w:val="FFFFFF"/>
                <w:sz w:val="19"/>
                <w:szCs w:val="19"/>
              </w:rPr>
              <w:t xml:space="preserve">Guardrail / HITL Trigger</w:t>
            </w:r>
          </w:p>
        </w:tc>
      </w:tr>
      <w:tr>
        <w:tc>
          <w:tcPr>
            <w:tcW w:type="dxa" w:w="3120"/>
            <w:tcMar>
              <w:top w:type="dxa" w:w="60"/>
              <w:left w:type="dxa" w:w="90"/>
              <w:bottom w:type="dxa" w:w="60"/>
              <w:right w:type="dxa" w:w="90"/>
            </w:tcMar>
          </w:tcPr>
          <w:p>
            <w:r>
              <w:rPr>
                <w:rFonts w:ascii="Calibri" w:cs="Calibri" w:eastAsia="Calibri" w:hAnsi="Calibri"/>
                <w:b w:val="false"/>
                <w:bCs w:val="false"/>
                <w:color w:val="1a1a1a"/>
                <w:sz w:val="19"/>
                <w:szCs w:val="19"/>
              </w:rPr>
              <w:t xml:space="preserve">Research, retrieval, internal drafting</w:t>
            </w:r>
          </w:p>
        </w:tc>
        <w:tc>
          <w:tcPr>
            <w:tcW w:type="dxa" w:w="3120"/>
            <w:tcMar>
              <w:top w:type="dxa" w:w="60"/>
              <w:left w:type="dxa" w:w="90"/>
              <w:bottom w:type="dxa" w:w="60"/>
              <w:right w:type="dxa" w:w="90"/>
            </w:tcMar>
          </w:tcPr>
          <w:p>
            <w:r>
              <w:rPr>
                <w:rFonts w:ascii="Calibri" w:cs="Calibri" w:eastAsia="Calibri" w:hAnsi="Calibri"/>
                <w:b w:val="false"/>
                <w:bCs w:val="false"/>
                <w:color w:val="1a1a1a"/>
                <w:sz w:val="19"/>
                <w:szCs w:val="19"/>
              </w:rPr>
              <w:t xml:space="preserve">Autonomous</w:t>
            </w:r>
          </w:p>
        </w:tc>
        <w:tc>
          <w:tcPr>
            <w:tcW w:type="dxa" w:w="3120"/>
            <w:tcMar>
              <w:top w:type="dxa" w:w="60"/>
              <w:left w:type="dxa" w:w="90"/>
              <w:bottom w:type="dxa" w:w="60"/>
              <w:right w:type="dxa" w:w="90"/>
            </w:tcMar>
          </w:tcPr>
          <w:p>
            <w:r>
              <w:rPr>
                <w:rFonts w:ascii="Calibri" w:cs="Calibri" w:eastAsia="Calibri" w:hAnsi="Calibri"/>
                <w:b w:val="false"/>
                <w:bCs w:val="false"/>
                <w:color w:val="1a1a1a"/>
                <w:sz w:val="19"/>
                <w:szCs w:val="19"/>
              </w:rPr>
              <w:t xml:space="preserve">Output flagged as draft; no external transmission without Human Sign-Off</w:t>
            </w:r>
          </w:p>
        </w:tc>
      </w:tr>
      <w:tr>
        <w:tc>
          <w:tcPr>
            <w:tcW w:type="dxa" w:w="312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Client Data ingestion / normalization</w:t>
            </w:r>
          </w:p>
        </w:tc>
        <w:tc>
          <w:tcPr>
            <w:tcW w:type="dxa" w:w="312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Autonomous</w:t>
            </w:r>
          </w:p>
        </w:tc>
        <w:tc>
          <w:tcPr>
            <w:tcW w:type="dxa" w:w="312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Read and normalize only; non-reversible changes require Human Sign-Off</w:t>
            </w:r>
          </w:p>
        </w:tc>
      </w:tr>
      <w:tr>
        <w:tc>
          <w:tcPr>
            <w:tcW w:type="dxa" w:w="3120"/>
            <w:tcMar>
              <w:top w:type="dxa" w:w="60"/>
              <w:left w:type="dxa" w:w="90"/>
              <w:bottom w:type="dxa" w:w="60"/>
              <w:right w:type="dxa" w:w="90"/>
            </w:tcMar>
          </w:tcPr>
          <w:p>
            <w:r>
              <w:rPr>
                <w:rFonts w:ascii="Calibri" w:cs="Calibri" w:eastAsia="Calibri" w:hAnsi="Calibri"/>
                <w:b w:val="false"/>
                <w:bCs w:val="false"/>
                <w:color w:val="1a1a1a"/>
                <w:sz w:val="19"/>
                <w:szCs w:val="19"/>
              </w:rPr>
              <w:t xml:space="preserve">Configured internal workflows</w:t>
            </w:r>
          </w:p>
        </w:tc>
        <w:tc>
          <w:tcPr>
            <w:tcW w:type="dxa" w:w="3120"/>
            <w:tcMar>
              <w:top w:type="dxa" w:w="60"/>
              <w:left w:type="dxa" w:w="90"/>
              <w:bottom w:type="dxa" w:w="60"/>
              <w:right w:type="dxa" w:w="90"/>
            </w:tcMar>
          </w:tcPr>
          <w:p>
            <w:r>
              <w:rPr>
                <w:rFonts w:ascii="Calibri" w:cs="Calibri" w:eastAsia="Calibri" w:hAnsi="Calibri"/>
                <w:b w:val="false"/>
                <w:bCs w:val="false"/>
                <w:color w:val="1a1a1a"/>
                <w:sz w:val="19"/>
                <w:szCs w:val="19"/>
              </w:rPr>
              <w:t xml:space="preserve">Autonomous within config</w:t>
            </w:r>
          </w:p>
        </w:tc>
        <w:tc>
          <w:tcPr>
            <w:tcW w:type="dxa" w:w="3120"/>
            <w:tcMar>
              <w:top w:type="dxa" w:w="60"/>
              <w:left w:type="dxa" w:w="90"/>
              <w:bottom w:type="dxa" w:w="60"/>
              <w:right w:type="dxa" w:w="90"/>
            </w:tcMar>
          </w:tcPr>
          <w:p>
            <w:r>
              <w:rPr>
                <w:rFonts w:ascii="Calibri" w:cs="Calibri" w:eastAsia="Calibri" w:hAnsi="Calibri"/>
                <w:b w:val="false"/>
                <w:bCs w:val="false"/>
                <w:color w:val="1a1a1a"/>
                <w:sz w:val="19"/>
                <w:szCs w:val="19"/>
              </w:rPr>
              <w:t xml:space="preserve">Runs only within Customer-approved parameters; escalates on exceptions</w:t>
            </w:r>
          </w:p>
        </w:tc>
      </w:tr>
      <w:tr>
        <w:tc>
          <w:tcPr>
            <w:tcW w:type="dxa" w:w="312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External communication to third parties</w:t>
            </w:r>
          </w:p>
        </w:tc>
        <w:tc>
          <w:tcPr>
            <w:tcW w:type="dxa" w:w="312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Prohibited without sign-off</w:t>
            </w:r>
          </w:p>
        </w:tc>
        <w:tc>
          <w:tcPr>
            <w:tcW w:type="dxa" w:w="312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Mandatory Human Sign-Off before any send</w:t>
            </w:r>
          </w:p>
        </w:tc>
      </w:tr>
      <w:tr>
        <w:tc>
          <w:tcPr>
            <w:tcW w:type="dxa" w:w="3120"/>
            <w:tcMar>
              <w:top w:type="dxa" w:w="60"/>
              <w:left w:type="dxa" w:w="90"/>
              <w:bottom w:type="dxa" w:w="60"/>
              <w:right w:type="dxa" w:w="90"/>
            </w:tcMar>
          </w:tcPr>
          <w:p>
            <w:r>
              <w:rPr>
                <w:rFonts w:ascii="Calibri" w:cs="Calibri" w:eastAsia="Calibri" w:hAnsi="Calibri"/>
                <w:b w:val="false"/>
                <w:bCs w:val="false"/>
                <w:color w:val="1a1a1a"/>
                <w:sz w:val="19"/>
                <w:szCs w:val="19"/>
              </w:rPr>
              <w:t xml:space="preserve">Financial transactions / commitments</w:t>
            </w:r>
          </w:p>
        </w:tc>
        <w:tc>
          <w:tcPr>
            <w:tcW w:type="dxa" w:w="3120"/>
            <w:tcMar>
              <w:top w:type="dxa" w:w="60"/>
              <w:left w:type="dxa" w:w="90"/>
              <w:bottom w:type="dxa" w:w="60"/>
              <w:right w:type="dxa" w:w="90"/>
            </w:tcMar>
          </w:tcPr>
          <w:p>
            <w:r>
              <w:rPr>
                <w:rFonts w:ascii="Calibri" w:cs="Calibri" w:eastAsia="Calibri" w:hAnsi="Calibri"/>
                <w:b w:val="false"/>
                <w:bCs w:val="false"/>
                <w:color w:val="1a1a1a"/>
                <w:sz w:val="19"/>
                <w:szCs w:val="19"/>
              </w:rPr>
              <w:t xml:space="preserve">Prohibited without sign-off</w:t>
            </w:r>
          </w:p>
        </w:tc>
        <w:tc>
          <w:tcPr>
            <w:tcW w:type="dxa" w:w="3120"/>
            <w:tcMar>
              <w:top w:type="dxa" w:w="60"/>
              <w:left w:type="dxa" w:w="90"/>
              <w:bottom w:type="dxa" w:w="60"/>
              <w:right w:type="dxa" w:w="90"/>
            </w:tcMar>
          </w:tcPr>
          <w:p>
            <w:r>
              <w:rPr>
                <w:rFonts w:ascii="Calibri" w:cs="Calibri" w:eastAsia="Calibri" w:hAnsi="Calibri"/>
                <w:b w:val="false"/>
                <w:bCs w:val="false"/>
                <w:color w:val="1a1a1a"/>
                <w:sz w:val="19"/>
                <w:szCs w:val="19"/>
              </w:rPr>
              <w:t xml:space="preserve">Mandatory Human Sign-Off; no autonomous authorization</w:t>
            </w:r>
          </w:p>
        </w:tc>
      </w:tr>
      <w:tr>
        <w:tc>
          <w:tcPr>
            <w:tcW w:type="dxa" w:w="312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Regulatory, tax, or compliance filings</w:t>
            </w:r>
          </w:p>
        </w:tc>
        <w:tc>
          <w:tcPr>
            <w:tcW w:type="dxa" w:w="312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Prohibited without sign-off</w:t>
            </w:r>
          </w:p>
        </w:tc>
        <w:tc>
          <w:tcPr>
            <w:tcW w:type="dxa" w:w="3120"/>
            <w:shd w:fill="F4FAFD" w:val="clear"/>
            <w:tcMar>
              <w:top w:type="dxa" w:w="60"/>
              <w:left w:type="dxa" w:w="90"/>
              <w:bottom w:type="dxa" w:w="60"/>
              <w:right w:type="dxa" w:w="90"/>
            </w:tcMar>
          </w:tcPr>
          <w:p>
            <w:r>
              <w:rPr>
                <w:rFonts w:ascii="Calibri" w:cs="Calibri" w:eastAsia="Calibri" w:hAnsi="Calibri"/>
                <w:b w:val="false"/>
                <w:bCs w:val="false"/>
                <w:color w:val="1a1a1a"/>
                <w:sz w:val="19"/>
                <w:szCs w:val="19"/>
              </w:rPr>
              <w:t xml:space="preserve">Mandatory Human Sign-Off and, where required, licensed professional review</w:t>
            </w:r>
          </w:p>
        </w:tc>
      </w:tr>
      <w:tr>
        <w:tc>
          <w:tcPr>
            <w:tcW w:type="dxa" w:w="3120"/>
            <w:tcMar>
              <w:top w:type="dxa" w:w="60"/>
              <w:left w:type="dxa" w:w="90"/>
              <w:bottom w:type="dxa" w:w="60"/>
              <w:right w:type="dxa" w:w="90"/>
            </w:tcMar>
          </w:tcPr>
          <w:p>
            <w:r>
              <w:rPr>
                <w:rFonts w:ascii="Calibri" w:cs="Calibri" w:eastAsia="Calibri" w:hAnsi="Calibri"/>
                <w:b w:val="false"/>
                <w:bCs w:val="false"/>
                <w:color w:val="1a1a1a"/>
                <w:sz w:val="19"/>
                <w:szCs w:val="19"/>
              </w:rPr>
              <w:t xml:space="preserve">User / integration / data-connection onboarding</w:t>
            </w:r>
          </w:p>
        </w:tc>
        <w:tc>
          <w:tcPr>
            <w:tcW w:type="dxa" w:w="3120"/>
            <w:tcMar>
              <w:top w:type="dxa" w:w="60"/>
              <w:left w:type="dxa" w:w="90"/>
              <w:bottom w:type="dxa" w:w="60"/>
              <w:right w:type="dxa" w:w="90"/>
            </w:tcMar>
          </w:tcPr>
          <w:p>
            <w:r>
              <w:rPr>
                <w:rFonts w:ascii="Calibri" w:cs="Calibri" w:eastAsia="Calibri" w:hAnsi="Calibri"/>
                <w:b w:val="false"/>
                <w:bCs w:val="false"/>
                <w:color w:val="1a1a1a"/>
                <w:sz w:val="19"/>
                <w:szCs w:val="19"/>
              </w:rPr>
              <w:t xml:space="preserve">Prohibited without sign-off</w:t>
            </w:r>
          </w:p>
        </w:tc>
        <w:tc>
          <w:tcPr>
            <w:tcW w:type="dxa" w:w="3120"/>
            <w:tcMar>
              <w:top w:type="dxa" w:w="60"/>
              <w:left w:type="dxa" w:w="90"/>
              <w:bottom w:type="dxa" w:w="60"/>
              <w:right w:type="dxa" w:w="90"/>
            </w:tcMar>
          </w:tcPr>
          <w:p>
            <w:r>
              <w:rPr>
                <w:rFonts w:ascii="Calibri" w:cs="Calibri" w:eastAsia="Calibri" w:hAnsi="Calibri"/>
                <w:b w:val="false"/>
                <w:bCs w:val="false"/>
                <w:color w:val="1a1a1a"/>
                <w:sz w:val="19"/>
                <w:szCs w:val="19"/>
              </w:rPr>
              <w:t xml:space="preserve">Mandatory Human Sign-Off by an administrator</w:t>
            </w:r>
          </w:p>
        </w:tc>
      </w:tr>
    </w:tbl>
    <w:p>
      <w:pPr>
        <w:spacing w:after="80"/>
      </w:pPr>
    </w:p>
    <w:p>
      <w:pPr>
        <w:spacing w:after="120" w:line="276"/>
      </w:pPr>
      <w:r>
        <w:rPr>
          <w:rFonts w:ascii="Calibri" w:cs="Calibri" w:eastAsia="Calibri" w:hAnsi="Calibri"/>
          <w:color w:val="1a1a1a"/>
          <w:sz w:val="21"/>
          <w:szCs w:val="21"/>
        </w:rPr>
        <w:t xml:space="preserve">Escalation: any AI Agent encountering a Consequential Decision, low-confidence output, or a guardrail conflict must halt and route to an Authorized User for Human Sign-Off. This Exhibit A is to be finalized with counsel and product owners before publication.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5"/>
        <w:szCs w:val="15"/>
      </w:rPr>
      <w:t xml:space="preserve">Echo 1 Labs — Terms of Service v2.0 · Draft for attorney review · </w:t>
    </w:r>
    <w:r>
      <w:rPr>
        <w:rFonts w:ascii="Calibri" w:cs="Calibri" w:eastAsia="Calibri" w:hAnsi="Calibri"/>
        <w:color w:val="555555"/>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Service</dc:title>
  <dc:creator>Echo 1 Labs</dc:creator>
  <cp:lastModifiedBy>Un-named</cp:lastModifiedBy>
  <cp:revision>1</cp:revision>
  <dcterms:created xsi:type="dcterms:W3CDTF">2026-07-29T18:08:08.214Z</dcterms:created>
  <dcterms:modified xsi:type="dcterms:W3CDTF">2026-07-29T18:08:08.214Z</dcterms:modified>
</cp:coreProperties>
</file>

<file path=docProps/custom.xml><?xml version="1.0" encoding="utf-8"?>
<Properties xmlns="http://schemas.openxmlformats.org/officeDocument/2006/custom-properties" xmlns:vt="http://schemas.openxmlformats.org/officeDocument/2006/docPropsVTypes"/>
</file>