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无损：DCT，z字型编码，使用DPCM编码，使用RLE编码，熵编码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有损：量化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颜色空间转换：空间冗余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DCT变换：结构冗余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编码：视觉冗余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675" cy="7031355"/>
            <wp:effectExtent l="0" t="0" r="14605" b="9525"/>
            <wp:docPr id="1" name="图片 1" descr="qq_pic_merged_157639900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763990011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3F6D"/>
    <w:multiLevelType w:val="singleLevel"/>
    <w:tmpl w:val="4F093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D1"/>
    <w:rsid w:val="00DE5CD1"/>
    <w:rsid w:val="75A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2019-12-15T05:20:00Z</dcterms:created>
  <dc:creator>忆迟流觞</dc:creator>
  <cp:lastModifiedBy>忆迟流觞</cp:lastModifiedBy>
  <dcterms:modified xsi:type="dcterms:W3CDTF">2019-12-15T08:37:16Z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