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="300" w:lineRule="auto"/>
        <w:rPr>
          <w:b w:val="1"/>
          <w:bCs w:val="1"/>
          <w:sz w:val="34"/>
          <w:szCs w:val="34"/>
        </w:rPr>
      </w:pPr>
      <w:bookmarkStart w:colFirst="0" w:colLast="0" w:name="_1cimv4fdxt7s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ISO 27001 — Gestión de Riesgos: Guía Completa con Simulación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70wucpz45iz3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Estructura de la herramienta</w:t>
      </w:r>
    </w:p>
    <w:p w:rsidR="00000000" w:rsidDel="00000000" w:rsidP="00000000" w:rsidRDefault="00000000" w:rsidRPr="00000000" w14:paraId="00000004">
      <w:pPr>
        <w:spacing w:after="120" w:before="12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La página "Gestión de Riesgos" implementa el estándar </w:t>
      </w: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ISO 27005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(gestión de riesgos de seguridad). Tiene 3 secciones principales:</w:t>
      </w:r>
    </w:p>
    <w:tbl>
      <w:tblPr>
        <w:tblStyle w:val="Table1"/>
        <w:tblW w:w="60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0"/>
        <w:gridCol w:w="3660"/>
        <w:tblGridChange w:id="0">
          <w:tblGrid>
            <w:gridCol w:w="2430"/>
            <w:gridCol w:w="366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Función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Formulario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(arriba)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Registrar nuevos riesgos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Matriz de calor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(medio)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Visualizar riesgos por probabilidad × impacto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Registro de riesgos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(abajo)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Tabla completa con todos los riesgos + Exportar CSV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gwdpn9ajb3en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Campos del Formulario — Explicados</w:t>
      </w:r>
    </w:p>
    <w:tbl>
      <w:tblPr>
        <w:tblStyle w:val="Table2"/>
        <w:tblW w:w="6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25"/>
        <w:gridCol w:w="4560"/>
        <w:tblGridChange w:id="0">
          <w:tblGrid>
            <w:gridCol w:w="1725"/>
            <w:gridCol w:w="456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Qué poner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Activo / Proceso afectado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El sistema, dato o proceso en riesgo (ej: CRM, email, red)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Amenaza identificada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El ataque o evento que puede ocurrir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Probabilidad (1–5)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¿Qué tan probable es? 1=Muy baja, 5=Muy alta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Impacto (1–5)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¿Qué tan grave sería? 1=Muy bajo, 5=Muy alto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Tratamiento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Mitigar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(controles),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Aceptar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(vivir con el riesgo),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Transferir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(seguro/tercero),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Evitar</w:t>
            </w: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 (eliminar actividad)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Nombre del dueño del riesgo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5" w:val="single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4"/>
                <w:szCs w:val="24"/>
                <w:rtl w:val="0"/>
              </w:rPr>
              <w:t xml:space="preserve">Descripción / controles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40.0" w:type="dxa"/>
              <w:left w:w="120.0" w:type="dxa"/>
              <w:bottom w:w="14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220" w:before="22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Medidas concretas + controles ISO 27001 aplicables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ncawyospdk2h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Escenario Simulado: TelecomCR S.A.</w:t>
      </w:r>
    </w:p>
    <w:p w:rsidR="00000000" w:rsidDel="00000000" w:rsidP="00000000" w:rsidRDefault="00000000" w:rsidRPr="00000000" w14:paraId="00000021">
      <w:pPr>
        <w:spacing w:after="120" w:before="12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Ingresé 3 riesgos reales del sector telecom: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ju50hw8q0tpr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R-001 — CRITICO (Score: 20)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Activo: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Base de datos de clientes (CRM Salesforce)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Amenaza: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Acceso no autorizado por credenciales comprometidas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Prob: 4 (Alta) × Impacto: 5 (Muy alto) = 20 — CRITICO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Tratamiento: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Mitigar — Implementar MFA, alertas de login sospechoso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Control ISO: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A.9.4.2 - Inicio de sesión seguro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Responsable: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William Romero - IT Security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3mx4t3hjnsrk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R-002 — ALTO (Score: 15)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Activo: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Servidores de red interna y sistemas de soporte técnico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Amenaza: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Ataque de ransomware via phishing a empleados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Prob: 3 (Media) × Impacto: 5 (Muy alto) = 15 — ALTO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Tratamiento: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Mitigar — Capacitación anti-phishing, EDR, backups offline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Control ISO: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A.12.3.1 y A.7.2.2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Responsable: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Jefa de IT - Ana Mora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fglunuiuxj2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R-003 — MEDIO (Score: 8)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Activo: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Correo corporativo y archivos compartidos (Google Drive)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Amenaza: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Fuga accidental de datos sensibles por empleado via email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Prob: 2 (Baja) × Impacto: 4 (Alto) = 8 — MEDIO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Tratamiento: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Transferir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— Póliza de seguro de ciberseguridad + DLP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Control ISO: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A.13.2.1 - Transferencia de información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Responsable: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CISO - Departamento Legal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9pizlmtshzc8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 Matriz de Calor — Cómo Leerla</w:t>
      </w:r>
    </w:p>
    <w:p w:rsidR="00000000" w:rsidDel="00000000" w:rsidP="00000000" w:rsidRDefault="00000000" w:rsidRPr="00000000" w14:paraId="00000039">
      <w:pPr>
        <w:spacing w:after="120" w:before="12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La matriz muestra colores automáticos según la puntuación: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Verde (1–4):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Bajo — aceptable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Amarillo/Naranja (5–9):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Medio — monitorear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Rosa (10–16):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Alto — atención prioritaria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Rojo (20–25):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CRITICO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— acción inmediata</w:t>
      </w:r>
    </w:p>
    <w:p w:rsidR="00000000" w:rsidDel="00000000" w:rsidP="00000000" w:rsidRDefault="00000000" w:rsidRPr="00000000" w14:paraId="0000003E">
      <w:pPr>
        <w:spacing w:after="120" w:before="12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Cada risk plotted aparece como un número dentro de su celda correspondiente.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2p8u8f6yk0i9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Exportar CSV — Para Auditorías</w:t>
      </w:r>
    </w:p>
    <w:p w:rsidR="00000000" w:rsidDel="00000000" w:rsidP="00000000" w:rsidRDefault="00000000" w:rsidRPr="00000000" w14:paraId="00000041">
      <w:pPr>
        <w:spacing w:after="120" w:before="12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El botón </w:t>
      </w: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"Exportar CSV"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(arriba a la derecha del registro) descarga todos los riesgos en formato tabular. Esto es lo que presentarías a un </w:t>
      </w: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auditor ISO 27001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o al ISMS Committee. El archivo contendrá: ID, Activo, Amenaza, Probabilidad, Impacto, Nivel, Tratamiento, Responsable, Descripción.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="300" w:lineRule="auto"/>
        <w:rPr>
          <w:b w:val="1"/>
          <w:bCs w:val="1"/>
          <w:sz w:val="34"/>
          <w:szCs w:val="34"/>
        </w:rPr>
      </w:pPr>
      <w:bookmarkStart w:colFirst="0" w:colLast="0" w:name="_hjdqw9ii0nx1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Tips Clave para tu Práctica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Empieza siempre con tus activos más críticos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— en telecom: CDRs, bases de clientes, sistemas de provisioning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El Score = Probabilidad × Impacto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 — todo ≥ 20 requiere plan de tratamiento inmediato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Cada riesgo debe tener un control ISO 27001 asociado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(Annex A) — esto lo verifica el auditor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"Transferir" no elimina el riesgo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— siempre documenta qué tercero asume la responsabilidad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color w:val="000000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sz w:val="24"/>
          <w:szCs w:val="24"/>
          <w:rtl w:val="0"/>
        </w:rPr>
        <w:t xml:space="preserve">Revisa los riesgos periódicamente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— ISO 27001 requiere revisión al menos anual o ante cambios significativos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228600</wp:posOffset>
            </wp:positionH>
            <wp:positionV relativeFrom="paragraph">
              <wp:posOffset>742950</wp:posOffset>
            </wp:positionV>
            <wp:extent cx="5502600" cy="2845829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2600" cy="284582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ungsuh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Georgia" w:cs="Georgia" w:eastAsia="Georgia" w:hAnsi="Georgia"/>
        <w:i w:val="0"/>
        <w:iCs w:val="0"/>
        <w:smallCaps w:val="0"/>
        <w:color w:val="d6d5d4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