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尝试通过下面的图片理解dva的状态管理逻辑。</w:t>
      </w:r>
    </w:p>
    <w:p>
      <w:r>
        <w:drawing>
          <wp:inline distT="0" distB="0" distL="114300" distR="114300">
            <wp:extent cx="5247005" cy="33451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把UI和数据分开，把数据处理放在了@/src/model文件夹中。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lYzZiMDI0YjY4NDI3Njk4Y2I3ZWQwMDg4NzY3Y2IifQ=="/>
  </w:docVars>
  <w:rsids>
    <w:rsidRoot w:val="6E583F03"/>
    <w:rsid w:val="14F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55</Characters>
  <Lines>0</Lines>
  <Paragraphs>0</Paragraphs>
  <TotalTime>586</TotalTime>
  <ScaleCrop>false</ScaleCrop>
  <LinksUpToDate>false</LinksUpToDate>
  <CharactersWithSpaces>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2022-11-25T06:16:00Z</dcterms:created>
  <dc:creator>Echo</dc:creator>
  <cp:lastModifiedBy>Echo</cp:lastModifiedBy>
  <dcterms:modified xsi:type="dcterms:W3CDTF">2022-11-28T10:34:44Z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3C3BF81E56E749E48F16C9C72AD06ABF</vt:lpwstr>
  </property>
</Properties>
</file>