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65D83" w14:textId="77777777" w:rsidR="00494F0F" w:rsidRDefault="00344196">
      <w:pPr>
        <w:jc w:val="center"/>
        <w:rPr>
          <w:rFonts w:ascii="Cambria" w:hAnsi="Cambria"/>
          <w:i/>
          <w:sz w:val="24"/>
        </w:rPr>
      </w:pPr>
      <w:r>
        <w:rPr>
          <w:rFonts w:ascii="Cambria" w:hAnsi="Cambria"/>
          <w:sz w:val="24"/>
        </w:rPr>
        <w:t>Fiche de lecture</w:t>
      </w:r>
    </w:p>
    <w:p w14:paraId="57CE34D8" w14:textId="77777777" w:rsidR="00494F0F" w:rsidRDefault="00344196">
      <w:pPr>
        <w:jc w:val="center"/>
        <w:rPr>
          <w:rFonts w:ascii="Cambria" w:hAnsi="Cambria"/>
          <w:sz w:val="24"/>
        </w:rPr>
      </w:pPr>
      <w:r>
        <w:rPr>
          <w:rFonts w:ascii="Cambria" w:hAnsi="Cambria"/>
          <w:i/>
          <w:sz w:val="24"/>
        </w:rPr>
        <w:t>Chronique de la dérive douce</w:t>
      </w:r>
    </w:p>
    <w:p w14:paraId="1CCE1C89" w14:textId="77777777" w:rsidR="00494F0F" w:rsidRDefault="00344196">
      <w:pPr>
        <w:jc w:val="center"/>
        <w:rPr>
          <w:rFonts w:ascii="Cambria" w:hAnsi="Cambria"/>
          <w:sz w:val="24"/>
        </w:rPr>
      </w:pPr>
      <w:r>
        <w:rPr>
          <w:rFonts w:ascii="Cambria" w:hAnsi="Cambria"/>
          <w:sz w:val="24"/>
        </w:rPr>
        <w:t>Dany Laferrière</w:t>
      </w:r>
    </w:p>
    <w:p w14:paraId="2BB38BE9" w14:textId="77777777" w:rsidR="00494F0F" w:rsidRDefault="00494F0F">
      <w:pPr>
        <w:rPr>
          <w:rFonts w:ascii="Cambria" w:hAnsi="Cambria"/>
        </w:rPr>
      </w:pPr>
    </w:p>
    <w:tbl>
      <w:tblPr>
        <w:tblW w:w="9351" w:type="dxa"/>
        <w:tblLayout w:type="fixed"/>
        <w:tblCellMar>
          <w:left w:w="70" w:type="dxa"/>
          <w:right w:w="70" w:type="dxa"/>
        </w:tblCellMar>
        <w:tblLook w:val="0000" w:firstRow="0" w:lastRow="0" w:firstColumn="0" w:lastColumn="0" w:noHBand="0" w:noVBand="0"/>
      </w:tblPr>
      <w:tblGrid>
        <w:gridCol w:w="1412"/>
        <w:gridCol w:w="6662"/>
        <w:gridCol w:w="1277"/>
      </w:tblGrid>
      <w:tr w:rsidR="00494F0F" w14:paraId="38BC563D" w14:textId="77777777">
        <w:tc>
          <w:tcPr>
            <w:tcW w:w="1412" w:type="dxa"/>
            <w:tcBorders>
              <w:top w:val="single" w:sz="4" w:space="0" w:color="000000"/>
              <w:left w:val="single" w:sz="4" w:space="0" w:color="000000"/>
              <w:bottom w:val="single" w:sz="4" w:space="0" w:color="000000"/>
              <w:right w:val="single" w:sz="4" w:space="0" w:color="000000"/>
            </w:tcBorders>
          </w:tcPr>
          <w:p w14:paraId="220B236B" w14:textId="77777777" w:rsidR="00494F0F" w:rsidRDefault="00494F0F">
            <w:pPr>
              <w:widowControl w:val="0"/>
              <w:rPr>
                <w:rFonts w:ascii="Cambria" w:hAnsi="Cambria"/>
              </w:rPr>
            </w:pPr>
          </w:p>
        </w:tc>
        <w:tc>
          <w:tcPr>
            <w:tcW w:w="6662" w:type="dxa"/>
            <w:tcBorders>
              <w:top w:val="single" w:sz="4" w:space="0" w:color="000000"/>
              <w:left w:val="single" w:sz="4" w:space="0" w:color="000000"/>
              <w:bottom w:val="single" w:sz="4" w:space="0" w:color="000000"/>
              <w:right w:val="single" w:sz="4" w:space="0" w:color="000000"/>
            </w:tcBorders>
          </w:tcPr>
          <w:p w14:paraId="205A7513" w14:textId="77777777" w:rsidR="00494F0F" w:rsidRDefault="00344196">
            <w:pPr>
              <w:widowControl w:val="0"/>
              <w:rPr>
                <w:rFonts w:ascii="Cambria" w:hAnsi="Cambria"/>
              </w:rPr>
            </w:pPr>
            <w:r>
              <w:rPr>
                <w:rFonts w:ascii="Cambria" w:hAnsi="Cambria"/>
              </w:rPr>
              <w:t>Explication de l’importance de ce mot dans le roman</w:t>
            </w:r>
          </w:p>
        </w:tc>
        <w:tc>
          <w:tcPr>
            <w:tcW w:w="1277" w:type="dxa"/>
            <w:tcBorders>
              <w:top w:val="single" w:sz="4" w:space="0" w:color="000000"/>
              <w:left w:val="single" w:sz="4" w:space="0" w:color="000000"/>
              <w:bottom w:val="single" w:sz="4" w:space="0" w:color="000000"/>
              <w:right w:val="single" w:sz="4" w:space="0" w:color="000000"/>
            </w:tcBorders>
          </w:tcPr>
          <w:p w14:paraId="494A0C07" w14:textId="77777777" w:rsidR="00494F0F" w:rsidRDefault="00344196">
            <w:pPr>
              <w:widowControl w:val="0"/>
              <w:rPr>
                <w:rFonts w:ascii="Cambria" w:hAnsi="Cambria"/>
              </w:rPr>
            </w:pPr>
            <w:proofErr w:type="gramStart"/>
            <w:r>
              <w:rPr>
                <w:rFonts w:ascii="Cambria" w:hAnsi="Cambria"/>
              </w:rPr>
              <w:t>pages</w:t>
            </w:r>
            <w:proofErr w:type="gramEnd"/>
          </w:p>
        </w:tc>
      </w:tr>
      <w:tr w:rsidR="00494F0F" w14:paraId="17D076A4" w14:textId="77777777">
        <w:tc>
          <w:tcPr>
            <w:tcW w:w="1412" w:type="dxa"/>
            <w:tcBorders>
              <w:top w:val="single" w:sz="4" w:space="0" w:color="000000"/>
              <w:left w:val="single" w:sz="4" w:space="0" w:color="000000"/>
              <w:bottom w:val="single" w:sz="4" w:space="0" w:color="000000"/>
              <w:right w:val="single" w:sz="4" w:space="0" w:color="000000"/>
            </w:tcBorders>
          </w:tcPr>
          <w:p w14:paraId="2C453901" w14:textId="77777777" w:rsidR="00494F0F" w:rsidRDefault="00344196">
            <w:pPr>
              <w:widowControl w:val="0"/>
              <w:rPr>
                <w:rFonts w:ascii="Cambria" w:hAnsi="Cambria"/>
                <w:sz w:val="16"/>
              </w:rPr>
            </w:pPr>
            <w:proofErr w:type="gramStart"/>
            <w:r>
              <w:rPr>
                <w:rFonts w:ascii="Cambria" w:hAnsi="Cambria"/>
                <w:sz w:val="16"/>
              </w:rPr>
              <w:t>dictature</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76A8A2D8" w14:textId="669C9799"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C872A5">
              <w:rPr>
                <w:rFonts w:asciiTheme="minorHAnsi" w:hAnsiTheme="minorHAnsi" w:cstheme="minorHAnsi"/>
                <w:sz w:val="16"/>
                <w:szCs w:val="16"/>
              </w:rPr>
              <w:t xml:space="preserve">Ce passage </w:t>
            </w:r>
            <w:r w:rsidRPr="002730FC">
              <w:rPr>
                <w:rFonts w:asciiTheme="minorHAnsi" w:hAnsiTheme="minorHAnsi" w:cstheme="minorHAnsi"/>
                <w:sz w:val="16"/>
                <w:szCs w:val="16"/>
              </w:rPr>
              <w:t>met en lumière la différence entre les luttes quotidiennes en Haïti et celles dans le pays d'accueil. En Haïti, la lutte contre la dictature est primordiale, tandis que dans le pays d'accueil, les conflits sont plus personnels et relationnels.</w:t>
            </w:r>
          </w:p>
          <w:p w14:paraId="3E7C1D3F"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 Ce passage souligne que la dictature ne prive pas seulement les gens de leurs besoins fondamentaux comme la nourriture et la liberté, mais aussi de leur intimité et de leur sexualité.</w:t>
            </w:r>
          </w:p>
        </w:tc>
        <w:tc>
          <w:tcPr>
            <w:tcW w:w="1277" w:type="dxa"/>
            <w:tcBorders>
              <w:top w:val="single" w:sz="4" w:space="0" w:color="000000"/>
              <w:left w:val="single" w:sz="4" w:space="0" w:color="000000"/>
              <w:bottom w:val="single" w:sz="4" w:space="0" w:color="000000"/>
              <w:right w:val="single" w:sz="4" w:space="0" w:color="000000"/>
            </w:tcBorders>
          </w:tcPr>
          <w:p w14:paraId="3A7ADF91" w14:textId="77777777" w:rsidR="00494F0F" w:rsidRDefault="00344196">
            <w:pPr>
              <w:widowControl w:val="0"/>
              <w:rPr>
                <w:rFonts w:ascii="Cambria" w:hAnsi="Cambria"/>
              </w:rPr>
            </w:pPr>
            <w:r>
              <w:rPr>
                <w:rFonts w:ascii="Cambria" w:hAnsi="Cambria"/>
              </w:rPr>
              <w:t>-174</w:t>
            </w:r>
          </w:p>
          <w:p w14:paraId="16DF83D0" w14:textId="77777777" w:rsidR="00494F0F" w:rsidRDefault="00344196">
            <w:pPr>
              <w:widowControl w:val="0"/>
              <w:rPr>
                <w:rFonts w:ascii="Cambria" w:hAnsi="Cambria"/>
              </w:rPr>
            </w:pPr>
            <w:r>
              <w:rPr>
                <w:rFonts w:ascii="Cambria" w:hAnsi="Cambria"/>
              </w:rPr>
              <w:t>-166</w:t>
            </w:r>
          </w:p>
        </w:tc>
      </w:tr>
      <w:tr w:rsidR="00494F0F" w14:paraId="02EEB076" w14:textId="77777777">
        <w:tc>
          <w:tcPr>
            <w:tcW w:w="1412" w:type="dxa"/>
            <w:tcBorders>
              <w:top w:val="single" w:sz="4" w:space="0" w:color="000000"/>
              <w:left w:val="single" w:sz="4" w:space="0" w:color="000000"/>
              <w:bottom w:val="single" w:sz="4" w:space="0" w:color="000000"/>
              <w:right w:val="single" w:sz="4" w:space="0" w:color="000000"/>
            </w:tcBorders>
          </w:tcPr>
          <w:p w14:paraId="33642E45" w14:textId="77777777" w:rsidR="00494F0F" w:rsidRDefault="00344196">
            <w:pPr>
              <w:widowControl w:val="0"/>
              <w:rPr>
                <w:rFonts w:ascii="Cambria" w:hAnsi="Cambria"/>
                <w:sz w:val="16"/>
              </w:rPr>
            </w:pPr>
            <w:r>
              <w:rPr>
                <w:rFonts w:ascii="Cambria" w:hAnsi="Cambria"/>
                <w:sz w:val="16"/>
              </w:rPr>
              <w:t>Saint-Laurent</w:t>
            </w:r>
          </w:p>
        </w:tc>
        <w:tc>
          <w:tcPr>
            <w:tcW w:w="6662" w:type="dxa"/>
            <w:tcBorders>
              <w:top w:val="single" w:sz="4" w:space="0" w:color="000000"/>
              <w:left w:val="single" w:sz="4" w:space="0" w:color="000000"/>
              <w:bottom w:val="single" w:sz="4" w:space="0" w:color="000000"/>
              <w:right w:val="single" w:sz="4" w:space="0" w:color="000000"/>
            </w:tcBorders>
          </w:tcPr>
          <w:p w14:paraId="254FEBDA" w14:textId="7ACAF02C"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D6432">
              <w:rPr>
                <w:rFonts w:asciiTheme="minorHAnsi" w:hAnsiTheme="minorHAnsi" w:cstheme="minorHAnsi"/>
                <w:sz w:val="16"/>
                <w:szCs w:val="16"/>
              </w:rPr>
              <w:t>Ce passage m</w:t>
            </w:r>
            <w:r w:rsidRPr="002730FC">
              <w:rPr>
                <w:rFonts w:asciiTheme="minorHAnsi" w:hAnsiTheme="minorHAnsi" w:cstheme="minorHAnsi"/>
                <w:sz w:val="16"/>
                <w:szCs w:val="16"/>
              </w:rPr>
              <w:t>et en évidence la rue Saint-Laurent comme une frontière symbolique entre deux cultures et langues dans la ville.</w:t>
            </w:r>
          </w:p>
          <w:p w14:paraId="0617DB6C" w14:textId="06EF0B0D"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4103C0">
              <w:rPr>
                <w:rFonts w:asciiTheme="minorHAnsi" w:hAnsiTheme="minorHAnsi" w:cstheme="minorHAnsi"/>
                <w:sz w:val="16"/>
                <w:szCs w:val="16"/>
              </w:rPr>
              <w:t xml:space="preserve">Ce </w:t>
            </w:r>
            <w:r w:rsidR="004B3E2F">
              <w:rPr>
                <w:rFonts w:asciiTheme="minorHAnsi" w:hAnsiTheme="minorHAnsi" w:cstheme="minorHAnsi"/>
                <w:sz w:val="16"/>
                <w:szCs w:val="16"/>
              </w:rPr>
              <w:t xml:space="preserve">passage </w:t>
            </w:r>
            <w:r w:rsidR="004B3E2F" w:rsidRPr="002730FC">
              <w:rPr>
                <w:rFonts w:asciiTheme="minorHAnsi" w:hAnsiTheme="minorHAnsi" w:cstheme="minorHAnsi"/>
                <w:sz w:val="16"/>
                <w:szCs w:val="16"/>
              </w:rPr>
              <w:t>ne mentionne pas</w:t>
            </w:r>
            <w:r w:rsidRPr="002730FC">
              <w:rPr>
                <w:rFonts w:asciiTheme="minorHAnsi" w:hAnsiTheme="minorHAnsi" w:cstheme="minorHAnsi"/>
                <w:sz w:val="16"/>
                <w:szCs w:val="16"/>
              </w:rPr>
              <w:t xml:space="preserve"> directement la rue Saint-Laurent, il se situe dans le contexte de la ville où la rue Saint-Laurent joue un rôle central. La rue Saint-Laurent est souvent un point de repère pour les événements et les interactions sociales dans la ville</w:t>
            </w:r>
          </w:p>
        </w:tc>
        <w:tc>
          <w:tcPr>
            <w:tcW w:w="1277" w:type="dxa"/>
            <w:tcBorders>
              <w:top w:val="single" w:sz="4" w:space="0" w:color="000000"/>
              <w:left w:val="single" w:sz="4" w:space="0" w:color="000000"/>
              <w:bottom w:val="single" w:sz="4" w:space="0" w:color="000000"/>
              <w:right w:val="single" w:sz="4" w:space="0" w:color="000000"/>
            </w:tcBorders>
          </w:tcPr>
          <w:p w14:paraId="5C496DD0" w14:textId="77777777" w:rsidR="00494F0F" w:rsidRDefault="00344196">
            <w:pPr>
              <w:widowControl w:val="0"/>
              <w:rPr>
                <w:rFonts w:ascii="Cambria" w:hAnsi="Cambria"/>
              </w:rPr>
            </w:pPr>
            <w:r>
              <w:rPr>
                <w:rFonts w:ascii="Cambria" w:hAnsi="Cambria"/>
              </w:rPr>
              <w:t>-20</w:t>
            </w:r>
          </w:p>
          <w:p w14:paraId="0806AB85" w14:textId="77777777" w:rsidR="00494F0F" w:rsidRDefault="00344196">
            <w:pPr>
              <w:widowControl w:val="0"/>
              <w:rPr>
                <w:rFonts w:ascii="Cambria" w:hAnsi="Cambria"/>
              </w:rPr>
            </w:pPr>
            <w:r>
              <w:rPr>
                <w:rFonts w:ascii="Cambria" w:hAnsi="Cambria"/>
              </w:rPr>
              <w:t>-25</w:t>
            </w:r>
          </w:p>
        </w:tc>
      </w:tr>
      <w:tr w:rsidR="00494F0F" w14:paraId="041858BA" w14:textId="77777777">
        <w:tc>
          <w:tcPr>
            <w:tcW w:w="1412" w:type="dxa"/>
            <w:tcBorders>
              <w:top w:val="single" w:sz="4" w:space="0" w:color="000000"/>
              <w:left w:val="single" w:sz="4" w:space="0" w:color="000000"/>
              <w:bottom w:val="single" w:sz="4" w:space="0" w:color="000000"/>
              <w:right w:val="single" w:sz="4" w:space="0" w:color="000000"/>
            </w:tcBorders>
          </w:tcPr>
          <w:p w14:paraId="19F4599D" w14:textId="77777777" w:rsidR="00494F0F" w:rsidRDefault="00344196">
            <w:pPr>
              <w:widowControl w:val="0"/>
              <w:rPr>
                <w:rFonts w:ascii="Cambria" w:hAnsi="Cambria"/>
                <w:sz w:val="16"/>
              </w:rPr>
            </w:pPr>
            <w:proofErr w:type="gramStart"/>
            <w:r>
              <w:rPr>
                <w:rFonts w:ascii="Cambria" w:hAnsi="Cambria"/>
                <w:sz w:val="16"/>
              </w:rPr>
              <w:t>pigeons</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4E1E9F19"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que les pigeons sont une partie intégrante de la vie urbaine, symbolisant la coexistence des différents éléments de la ville</w:t>
            </w:r>
          </w:p>
          <w:p w14:paraId="07CA625E"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met en lumière l'importance du pigeon comme source de nourriture pour les personnages du roman</w:t>
            </w:r>
          </w:p>
        </w:tc>
        <w:tc>
          <w:tcPr>
            <w:tcW w:w="1277" w:type="dxa"/>
            <w:tcBorders>
              <w:top w:val="single" w:sz="4" w:space="0" w:color="000000"/>
              <w:left w:val="single" w:sz="4" w:space="0" w:color="000000"/>
              <w:bottom w:val="single" w:sz="4" w:space="0" w:color="000000"/>
              <w:right w:val="single" w:sz="4" w:space="0" w:color="000000"/>
            </w:tcBorders>
          </w:tcPr>
          <w:p w14:paraId="7A2C7348" w14:textId="77777777" w:rsidR="00494F0F" w:rsidRDefault="00344196">
            <w:pPr>
              <w:widowControl w:val="0"/>
              <w:rPr>
                <w:rFonts w:ascii="Cambria" w:hAnsi="Cambria"/>
              </w:rPr>
            </w:pPr>
            <w:r>
              <w:rPr>
                <w:rFonts w:ascii="Cambria" w:hAnsi="Cambria"/>
              </w:rPr>
              <w:t>-37</w:t>
            </w:r>
          </w:p>
          <w:p w14:paraId="164F87C5" w14:textId="77777777" w:rsidR="00494F0F" w:rsidRDefault="00344196">
            <w:pPr>
              <w:widowControl w:val="0"/>
              <w:rPr>
                <w:rFonts w:ascii="Cambria" w:hAnsi="Cambria"/>
              </w:rPr>
            </w:pPr>
            <w:r>
              <w:rPr>
                <w:rFonts w:ascii="Cambria" w:hAnsi="Cambria"/>
              </w:rPr>
              <w:t>-39</w:t>
            </w:r>
          </w:p>
        </w:tc>
      </w:tr>
      <w:tr w:rsidR="00494F0F" w14:paraId="1990C81A" w14:textId="77777777">
        <w:tc>
          <w:tcPr>
            <w:tcW w:w="1412" w:type="dxa"/>
            <w:tcBorders>
              <w:top w:val="single" w:sz="4" w:space="0" w:color="000000"/>
              <w:left w:val="single" w:sz="4" w:space="0" w:color="000000"/>
              <w:bottom w:val="single" w:sz="4" w:space="0" w:color="000000"/>
              <w:right w:val="single" w:sz="4" w:space="0" w:color="000000"/>
            </w:tcBorders>
          </w:tcPr>
          <w:p w14:paraId="351087FA" w14:textId="77777777" w:rsidR="00494F0F" w:rsidRDefault="00344196">
            <w:pPr>
              <w:widowControl w:val="0"/>
              <w:rPr>
                <w:rFonts w:ascii="Cambria" w:hAnsi="Cambria"/>
                <w:sz w:val="16"/>
              </w:rPr>
            </w:pPr>
            <w:r>
              <w:rPr>
                <w:rFonts w:ascii="Cambria" w:hAnsi="Cambria"/>
                <w:sz w:val="16"/>
              </w:rPr>
              <w:t>Port-au-Prince</w:t>
            </w:r>
          </w:p>
        </w:tc>
        <w:tc>
          <w:tcPr>
            <w:tcW w:w="6662" w:type="dxa"/>
            <w:tcBorders>
              <w:top w:val="single" w:sz="4" w:space="0" w:color="000000"/>
              <w:left w:val="single" w:sz="4" w:space="0" w:color="000000"/>
              <w:bottom w:val="single" w:sz="4" w:space="0" w:color="000000"/>
              <w:right w:val="single" w:sz="4" w:space="0" w:color="000000"/>
            </w:tcBorders>
          </w:tcPr>
          <w:p w14:paraId="563D4255"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 Ce passage met en lumière les différences culturelles et sociales entre Port-au-Prince et Montréal. </w:t>
            </w:r>
          </w:p>
          <w:p w14:paraId="07269FC8"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la nostalgie et le lien émotionnel fort que le narrateur entretient avec Port-au-Prince.</w:t>
            </w:r>
          </w:p>
        </w:tc>
        <w:tc>
          <w:tcPr>
            <w:tcW w:w="1277" w:type="dxa"/>
            <w:tcBorders>
              <w:top w:val="single" w:sz="4" w:space="0" w:color="000000"/>
              <w:left w:val="single" w:sz="4" w:space="0" w:color="000000"/>
              <w:bottom w:val="single" w:sz="4" w:space="0" w:color="000000"/>
              <w:right w:val="single" w:sz="4" w:space="0" w:color="000000"/>
            </w:tcBorders>
          </w:tcPr>
          <w:p w14:paraId="6FCC7A85" w14:textId="77777777" w:rsidR="00494F0F" w:rsidRDefault="00344196">
            <w:pPr>
              <w:widowControl w:val="0"/>
              <w:rPr>
                <w:rFonts w:ascii="Cambria" w:hAnsi="Cambria"/>
              </w:rPr>
            </w:pPr>
            <w:r>
              <w:rPr>
                <w:rFonts w:ascii="Cambria" w:hAnsi="Cambria"/>
              </w:rPr>
              <w:t>-33</w:t>
            </w:r>
          </w:p>
          <w:p w14:paraId="1285295E" w14:textId="77777777" w:rsidR="00494F0F" w:rsidRDefault="00344196">
            <w:pPr>
              <w:widowControl w:val="0"/>
              <w:rPr>
                <w:rFonts w:ascii="Cambria" w:hAnsi="Cambria"/>
              </w:rPr>
            </w:pPr>
            <w:r>
              <w:rPr>
                <w:rFonts w:ascii="Cambria" w:hAnsi="Cambria"/>
              </w:rPr>
              <w:t>-21</w:t>
            </w:r>
          </w:p>
        </w:tc>
      </w:tr>
      <w:tr w:rsidR="00494F0F" w14:paraId="69854A62" w14:textId="77777777">
        <w:tc>
          <w:tcPr>
            <w:tcW w:w="1412" w:type="dxa"/>
            <w:tcBorders>
              <w:top w:val="single" w:sz="4" w:space="0" w:color="000000"/>
              <w:left w:val="single" w:sz="4" w:space="0" w:color="000000"/>
              <w:bottom w:val="single" w:sz="4" w:space="0" w:color="000000"/>
              <w:right w:val="single" w:sz="4" w:space="0" w:color="000000"/>
            </w:tcBorders>
          </w:tcPr>
          <w:p w14:paraId="625955D3" w14:textId="77777777" w:rsidR="00494F0F" w:rsidRDefault="00344196">
            <w:pPr>
              <w:widowControl w:val="0"/>
              <w:rPr>
                <w:rFonts w:ascii="Cambria" w:hAnsi="Cambria"/>
                <w:sz w:val="16"/>
              </w:rPr>
            </w:pPr>
            <w:r>
              <w:rPr>
                <w:rFonts w:ascii="Cambria" w:hAnsi="Cambria"/>
                <w:sz w:val="16"/>
              </w:rPr>
              <w:t>50 Crémazie</w:t>
            </w:r>
          </w:p>
        </w:tc>
        <w:tc>
          <w:tcPr>
            <w:tcW w:w="6662" w:type="dxa"/>
            <w:tcBorders>
              <w:top w:val="single" w:sz="4" w:space="0" w:color="000000"/>
              <w:left w:val="single" w:sz="4" w:space="0" w:color="000000"/>
              <w:bottom w:val="single" w:sz="4" w:space="0" w:color="000000"/>
              <w:right w:val="single" w:sz="4" w:space="0" w:color="000000"/>
            </w:tcBorders>
          </w:tcPr>
          <w:p w14:paraId="183E6B54"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décrit le bar "50 Crémazie" comme un lieu de rencontre pour les immigrants, soulignant son rôle comme un espace social important pour les nouveaux arrivants. </w:t>
            </w:r>
          </w:p>
          <w:p w14:paraId="2DA829AB"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ne mentionne pas directement "50 Crémazie", il évoque le sentiment de nostalgie et de transition que le narrateur ressent en se remémorant ses premiers jours dans la ville. "50 Crémazie" est un lieu qui symbolise le début de son expérience en tant qu'immigrant</w:t>
            </w:r>
          </w:p>
        </w:tc>
        <w:tc>
          <w:tcPr>
            <w:tcW w:w="1277" w:type="dxa"/>
            <w:tcBorders>
              <w:top w:val="single" w:sz="4" w:space="0" w:color="000000"/>
              <w:left w:val="single" w:sz="4" w:space="0" w:color="000000"/>
              <w:bottom w:val="single" w:sz="4" w:space="0" w:color="000000"/>
              <w:right w:val="single" w:sz="4" w:space="0" w:color="000000"/>
            </w:tcBorders>
          </w:tcPr>
          <w:p w14:paraId="275348C8" w14:textId="77777777" w:rsidR="00494F0F" w:rsidRDefault="00344196">
            <w:pPr>
              <w:widowControl w:val="0"/>
              <w:rPr>
                <w:rFonts w:ascii="Cambria" w:hAnsi="Cambria"/>
              </w:rPr>
            </w:pPr>
            <w:r>
              <w:rPr>
                <w:rFonts w:ascii="Cambria" w:hAnsi="Cambria"/>
              </w:rPr>
              <w:t>-23</w:t>
            </w:r>
          </w:p>
          <w:p w14:paraId="411BFB52" w14:textId="77777777" w:rsidR="00494F0F" w:rsidRDefault="00344196">
            <w:pPr>
              <w:widowControl w:val="0"/>
              <w:rPr>
                <w:rFonts w:ascii="Cambria" w:hAnsi="Cambria"/>
              </w:rPr>
            </w:pPr>
            <w:r>
              <w:rPr>
                <w:rFonts w:ascii="Cambria" w:hAnsi="Cambria"/>
              </w:rPr>
              <w:t>-190</w:t>
            </w:r>
          </w:p>
        </w:tc>
      </w:tr>
      <w:tr w:rsidR="00494F0F" w14:paraId="23B558FB" w14:textId="77777777">
        <w:tc>
          <w:tcPr>
            <w:tcW w:w="1412" w:type="dxa"/>
            <w:tcBorders>
              <w:top w:val="single" w:sz="4" w:space="0" w:color="000000"/>
              <w:left w:val="single" w:sz="4" w:space="0" w:color="000000"/>
              <w:bottom w:val="single" w:sz="4" w:space="0" w:color="000000"/>
              <w:right w:val="single" w:sz="4" w:space="0" w:color="000000"/>
            </w:tcBorders>
          </w:tcPr>
          <w:p w14:paraId="39838A63" w14:textId="77777777" w:rsidR="00494F0F" w:rsidRDefault="00344196">
            <w:pPr>
              <w:widowControl w:val="0"/>
              <w:rPr>
                <w:rFonts w:ascii="Cambria" w:hAnsi="Cambria"/>
                <w:sz w:val="16"/>
              </w:rPr>
            </w:pPr>
            <w:proofErr w:type="gramStart"/>
            <w:r>
              <w:rPr>
                <w:rFonts w:ascii="Cambria" w:hAnsi="Cambria"/>
                <w:sz w:val="16"/>
              </w:rPr>
              <w:t>créole</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0660CA51"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que la langue créole est un élément central de l'identité et de la communauté du narrateur. Le fait que "tout le monde" parle créole dans cette ville crée un sentiment de familiarité et de connexion pour le narrateur</w:t>
            </w:r>
          </w:p>
          <w:p w14:paraId="4A3E2A71"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met en lumière la langue créole comme un moyen de communication et de réconfort. La vieille femme chantant en créole représente un lien avec les racines culturelles du narrateur</w:t>
            </w:r>
          </w:p>
        </w:tc>
        <w:tc>
          <w:tcPr>
            <w:tcW w:w="1277" w:type="dxa"/>
            <w:tcBorders>
              <w:top w:val="single" w:sz="4" w:space="0" w:color="000000"/>
              <w:left w:val="single" w:sz="4" w:space="0" w:color="000000"/>
              <w:bottom w:val="single" w:sz="4" w:space="0" w:color="000000"/>
              <w:right w:val="single" w:sz="4" w:space="0" w:color="000000"/>
            </w:tcBorders>
          </w:tcPr>
          <w:p w14:paraId="4DEF008D" w14:textId="77777777" w:rsidR="00494F0F" w:rsidRDefault="00344196">
            <w:pPr>
              <w:widowControl w:val="0"/>
              <w:rPr>
                <w:rFonts w:ascii="Cambria" w:hAnsi="Cambria"/>
              </w:rPr>
            </w:pPr>
            <w:r>
              <w:rPr>
                <w:rFonts w:ascii="Cambria" w:hAnsi="Cambria"/>
              </w:rPr>
              <w:t>-189</w:t>
            </w:r>
          </w:p>
          <w:p w14:paraId="64F4F058" w14:textId="77777777" w:rsidR="00494F0F" w:rsidRDefault="00344196">
            <w:pPr>
              <w:widowControl w:val="0"/>
              <w:rPr>
                <w:rFonts w:ascii="Cambria" w:hAnsi="Cambria"/>
              </w:rPr>
            </w:pPr>
            <w:r>
              <w:rPr>
                <w:rFonts w:ascii="Cambria" w:hAnsi="Cambria"/>
              </w:rPr>
              <w:t>-151</w:t>
            </w:r>
          </w:p>
        </w:tc>
      </w:tr>
      <w:tr w:rsidR="00494F0F" w14:paraId="690D6DEB" w14:textId="77777777">
        <w:tc>
          <w:tcPr>
            <w:tcW w:w="1412" w:type="dxa"/>
            <w:tcBorders>
              <w:top w:val="single" w:sz="4" w:space="0" w:color="000000"/>
              <w:left w:val="single" w:sz="4" w:space="0" w:color="000000"/>
              <w:bottom w:val="single" w:sz="4" w:space="0" w:color="000000"/>
              <w:right w:val="single" w:sz="4" w:space="0" w:color="000000"/>
            </w:tcBorders>
          </w:tcPr>
          <w:p w14:paraId="7F235611" w14:textId="77777777" w:rsidR="00494F0F" w:rsidRDefault="00344196">
            <w:pPr>
              <w:widowControl w:val="0"/>
              <w:rPr>
                <w:rFonts w:ascii="Cambria" w:hAnsi="Cambria"/>
                <w:sz w:val="16"/>
              </w:rPr>
            </w:pPr>
            <w:proofErr w:type="gramStart"/>
            <w:r>
              <w:rPr>
                <w:rFonts w:ascii="Cambria" w:hAnsi="Cambria"/>
                <w:sz w:val="16"/>
              </w:rPr>
              <w:t>policier</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09A9D5EC"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met en lumière les expériences de discrimination et de profilage racial que le narrateur subit. Le policier représente l'autorité et le contrôle</w:t>
            </w:r>
          </w:p>
          <w:p w14:paraId="53806911"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illustre la précarité et la vulnérabilité du narrateur. Le policier, en tant que figure d'autorité, représente une menace constante pour ceux qui vivent en marge de la société</w:t>
            </w:r>
          </w:p>
        </w:tc>
        <w:tc>
          <w:tcPr>
            <w:tcW w:w="1277" w:type="dxa"/>
            <w:tcBorders>
              <w:top w:val="single" w:sz="4" w:space="0" w:color="000000"/>
              <w:left w:val="single" w:sz="4" w:space="0" w:color="000000"/>
              <w:bottom w:val="single" w:sz="4" w:space="0" w:color="000000"/>
              <w:right w:val="single" w:sz="4" w:space="0" w:color="000000"/>
            </w:tcBorders>
          </w:tcPr>
          <w:p w14:paraId="004BA312" w14:textId="77777777" w:rsidR="00494F0F" w:rsidRDefault="00344196">
            <w:pPr>
              <w:widowControl w:val="0"/>
              <w:rPr>
                <w:rFonts w:ascii="Cambria" w:hAnsi="Cambria"/>
              </w:rPr>
            </w:pPr>
            <w:r>
              <w:rPr>
                <w:rFonts w:ascii="Cambria" w:hAnsi="Cambria"/>
              </w:rPr>
              <w:t>-69</w:t>
            </w:r>
          </w:p>
          <w:p w14:paraId="70BBA09C" w14:textId="77777777" w:rsidR="00494F0F" w:rsidRDefault="00344196">
            <w:pPr>
              <w:widowControl w:val="0"/>
              <w:rPr>
                <w:rFonts w:ascii="Cambria" w:hAnsi="Cambria"/>
              </w:rPr>
            </w:pPr>
            <w:r>
              <w:rPr>
                <w:rFonts w:ascii="Cambria" w:hAnsi="Cambria"/>
              </w:rPr>
              <w:t>-27</w:t>
            </w:r>
          </w:p>
        </w:tc>
      </w:tr>
      <w:tr w:rsidR="00494F0F" w14:paraId="046AE515" w14:textId="77777777">
        <w:tc>
          <w:tcPr>
            <w:tcW w:w="1412" w:type="dxa"/>
            <w:tcBorders>
              <w:top w:val="single" w:sz="4" w:space="0" w:color="000000"/>
              <w:left w:val="single" w:sz="4" w:space="0" w:color="000000"/>
              <w:bottom w:val="single" w:sz="4" w:space="0" w:color="000000"/>
              <w:right w:val="single" w:sz="4" w:space="0" w:color="000000"/>
            </w:tcBorders>
          </w:tcPr>
          <w:p w14:paraId="433EB227" w14:textId="77777777" w:rsidR="00494F0F" w:rsidRDefault="00344196">
            <w:pPr>
              <w:widowControl w:val="0"/>
              <w:rPr>
                <w:rFonts w:ascii="Cambria" w:hAnsi="Cambria"/>
                <w:sz w:val="16"/>
              </w:rPr>
            </w:pPr>
            <w:r>
              <w:rPr>
                <w:rFonts w:ascii="Cambria" w:hAnsi="Cambria"/>
                <w:sz w:val="16"/>
              </w:rPr>
              <w:t>Outremont</w:t>
            </w:r>
          </w:p>
        </w:tc>
        <w:tc>
          <w:tcPr>
            <w:tcW w:w="6662" w:type="dxa"/>
            <w:tcBorders>
              <w:top w:val="single" w:sz="4" w:space="0" w:color="000000"/>
              <w:left w:val="single" w:sz="4" w:space="0" w:color="000000"/>
              <w:bottom w:val="single" w:sz="4" w:space="0" w:color="000000"/>
              <w:right w:val="single" w:sz="4" w:space="0" w:color="000000"/>
            </w:tcBorders>
          </w:tcPr>
          <w:p w14:paraId="57455D94"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met en lumière le contraste entre la situation précaire du narrateur et le quartier aisé d'Outremont</w:t>
            </w:r>
          </w:p>
          <w:p w14:paraId="1B23E7AF"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ne mentionne pas directement "Outremont," il fait référence à l'appartement de l'ami du narrateur dans ce quartier. </w:t>
            </w:r>
          </w:p>
        </w:tc>
        <w:tc>
          <w:tcPr>
            <w:tcW w:w="1277" w:type="dxa"/>
            <w:tcBorders>
              <w:top w:val="single" w:sz="4" w:space="0" w:color="000000"/>
              <w:left w:val="single" w:sz="4" w:space="0" w:color="000000"/>
              <w:bottom w:val="single" w:sz="4" w:space="0" w:color="000000"/>
              <w:right w:val="single" w:sz="4" w:space="0" w:color="000000"/>
            </w:tcBorders>
          </w:tcPr>
          <w:p w14:paraId="4B7BF426" w14:textId="77777777" w:rsidR="00494F0F" w:rsidRDefault="00344196">
            <w:pPr>
              <w:widowControl w:val="0"/>
              <w:rPr>
                <w:rFonts w:ascii="Cambria" w:hAnsi="Cambria"/>
              </w:rPr>
            </w:pPr>
            <w:r>
              <w:rPr>
                <w:rFonts w:ascii="Cambria" w:hAnsi="Cambria"/>
              </w:rPr>
              <w:t>-29</w:t>
            </w:r>
          </w:p>
          <w:p w14:paraId="6D522BE5" w14:textId="77777777" w:rsidR="00494F0F" w:rsidRDefault="00344196">
            <w:pPr>
              <w:widowControl w:val="0"/>
              <w:rPr>
                <w:rFonts w:ascii="Cambria" w:hAnsi="Cambria"/>
              </w:rPr>
            </w:pPr>
            <w:r>
              <w:rPr>
                <w:rFonts w:ascii="Cambria" w:hAnsi="Cambria"/>
              </w:rPr>
              <w:t>-29</w:t>
            </w:r>
          </w:p>
        </w:tc>
      </w:tr>
      <w:tr w:rsidR="00494F0F" w14:paraId="44D23AC9" w14:textId="77777777">
        <w:tc>
          <w:tcPr>
            <w:tcW w:w="1412" w:type="dxa"/>
            <w:tcBorders>
              <w:top w:val="single" w:sz="4" w:space="0" w:color="000000"/>
              <w:left w:val="single" w:sz="4" w:space="0" w:color="000000"/>
              <w:bottom w:val="single" w:sz="4" w:space="0" w:color="000000"/>
              <w:right w:val="single" w:sz="4" w:space="0" w:color="000000"/>
            </w:tcBorders>
          </w:tcPr>
          <w:p w14:paraId="13E317E5" w14:textId="77777777" w:rsidR="00494F0F" w:rsidRDefault="00344196">
            <w:pPr>
              <w:widowControl w:val="0"/>
              <w:rPr>
                <w:rFonts w:ascii="Cambria" w:hAnsi="Cambria"/>
                <w:sz w:val="16"/>
              </w:rPr>
            </w:pPr>
            <w:proofErr w:type="gramStart"/>
            <w:r>
              <w:rPr>
                <w:rFonts w:ascii="Cambria" w:hAnsi="Cambria"/>
                <w:sz w:val="16"/>
              </w:rPr>
              <w:t>robe</w:t>
            </w:r>
            <w:proofErr w:type="gramEnd"/>
            <w:r>
              <w:rPr>
                <w:rFonts w:ascii="Cambria" w:hAnsi="Cambria"/>
                <w:sz w:val="16"/>
              </w:rPr>
              <w:t xml:space="preserve"> de chambre</w:t>
            </w:r>
          </w:p>
        </w:tc>
        <w:tc>
          <w:tcPr>
            <w:tcW w:w="6662" w:type="dxa"/>
            <w:tcBorders>
              <w:top w:val="single" w:sz="4" w:space="0" w:color="000000"/>
              <w:left w:val="single" w:sz="4" w:space="0" w:color="000000"/>
              <w:bottom w:val="single" w:sz="4" w:space="0" w:color="000000"/>
              <w:right w:val="single" w:sz="4" w:space="0" w:color="000000"/>
            </w:tcBorders>
          </w:tcPr>
          <w:p w14:paraId="0A1867B0"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ne mentionne pas directement la "robe de chambre," mais il met en lumière les thèmes de la mémoire, de l'intimité et des relations humaines. La robe de chambre, en tant que vêtement d'intérieur, symbolise souvent la proximité et le confort.</w:t>
            </w:r>
          </w:p>
          <w:p w14:paraId="654E86F4"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ne mentionne pas non plus directement la "robe de chambre," mais il explore les thèmes de l'intimité, de la sexualité et des relations de pouvoir. La robe de chambre, en tant que vêtement associé à la vie privée et à l'intimité</w:t>
            </w:r>
          </w:p>
        </w:tc>
        <w:tc>
          <w:tcPr>
            <w:tcW w:w="1277" w:type="dxa"/>
            <w:tcBorders>
              <w:top w:val="single" w:sz="4" w:space="0" w:color="000000"/>
              <w:left w:val="single" w:sz="4" w:space="0" w:color="000000"/>
              <w:bottom w:val="single" w:sz="4" w:space="0" w:color="000000"/>
              <w:right w:val="single" w:sz="4" w:space="0" w:color="000000"/>
            </w:tcBorders>
          </w:tcPr>
          <w:p w14:paraId="109C2B71" w14:textId="77777777" w:rsidR="00494F0F" w:rsidRDefault="00344196">
            <w:pPr>
              <w:widowControl w:val="0"/>
              <w:rPr>
                <w:rFonts w:ascii="Cambria" w:hAnsi="Cambria"/>
              </w:rPr>
            </w:pPr>
            <w:r>
              <w:rPr>
                <w:rFonts w:ascii="Cambria" w:hAnsi="Cambria"/>
              </w:rPr>
              <w:t>-204</w:t>
            </w:r>
          </w:p>
          <w:p w14:paraId="523B37A3" w14:textId="77777777" w:rsidR="00494F0F" w:rsidRDefault="00344196">
            <w:pPr>
              <w:widowControl w:val="0"/>
              <w:rPr>
                <w:rFonts w:ascii="Cambria" w:hAnsi="Cambria"/>
              </w:rPr>
            </w:pPr>
            <w:r>
              <w:rPr>
                <w:rFonts w:ascii="Cambria" w:hAnsi="Cambria"/>
              </w:rPr>
              <w:t>-135</w:t>
            </w:r>
          </w:p>
        </w:tc>
      </w:tr>
      <w:tr w:rsidR="00494F0F" w14:paraId="10700CB5" w14:textId="77777777">
        <w:tc>
          <w:tcPr>
            <w:tcW w:w="1412" w:type="dxa"/>
            <w:tcBorders>
              <w:top w:val="single" w:sz="4" w:space="0" w:color="000000"/>
              <w:left w:val="single" w:sz="4" w:space="0" w:color="000000"/>
              <w:bottom w:val="single" w:sz="4" w:space="0" w:color="000000"/>
              <w:right w:val="single" w:sz="4" w:space="0" w:color="000000"/>
            </w:tcBorders>
          </w:tcPr>
          <w:p w14:paraId="5026114D" w14:textId="77777777" w:rsidR="00494F0F" w:rsidRDefault="00344196">
            <w:pPr>
              <w:widowControl w:val="0"/>
              <w:rPr>
                <w:rFonts w:ascii="Cambria" w:hAnsi="Cambria"/>
                <w:sz w:val="16"/>
              </w:rPr>
            </w:pPr>
            <w:proofErr w:type="gramStart"/>
            <w:r>
              <w:rPr>
                <w:rFonts w:ascii="Cambria" w:hAnsi="Cambria"/>
                <w:sz w:val="16"/>
              </w:rPr>
              <w:t>exilé</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5F72A078"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met en lumière le dilemme moral et identitaire du narrateur. Le terme "exilé" est chargé de connotations politiques et de souffrance, et le narrateur refuse de se définir ainsi</w:t>
            </w:r>
          </w:p>
          <w:p w14:paraId="4B831234"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que le thème de l'exil est un sujet de conversation récurrent et important parmi les immigrants.</w:t>
            </w:r>
          </w:p>
        </w:tc>
        <w:tc>
          <w:tcPr>
            <w:tcW w:w="1277" w:type="dxa"/>
            <w:tcBorders>
              <w:top w:val="single" w:sz="4" w:space="0" w:color="000000"/>
              <w:left w:val="single" w:sz="4" w:space="0" w:color="000000"/>
              <w:bottom w:val="single" w:sz="4" w:space="0" w:color="000000"/>
              <w:right w:val="single" w:sz="4" w:space="0" w:color="000000"/>
            </w:tcBorders>
          </w:tcPr>
          <w:p w14:paraId="7E5E4355" w14:textId="77777777" w:rsidR="00494F0F" w:rsidRDefault="00344196">
            <w:pPr>
              <w:widowControl w:val="0"/>
              <w:rPr>
                <w:rFonts w:ascii="Cambria" w:hAnsi="Cambria"/>
              </w:rPr>
            </w:pPr>
            <w:r>
              <w:rPr>
                <w:rFonts w:ascii="Cambria" w:hAnsi="Cambria"/>
              </w:rPr>
              <w:t>-32</w:t>
            </w:r>
          </w:p>
          <w:p w14:paraId="014A0A0C" w14:textId="77777777" w:rsidR="00494F0F" w:rsidRDefault="00344196">
            <w:pPr>
              <w:widowControl w:val="0"/>
              <w:rPr>
                <w:rFonts w:ascii="Cambria" w:hAnsi="Cambria"/>
              </w:rPr>
            </w:pPr>
            <w:r>
              <w:rPr>
                <w:rFonts w:ascii="Cambria" w:hAnsi="Cambria"/>
              </w:rPr>
              <w:t>-148</w:t>
            </w:r>
          </w:p>
        </w:tc>
      </w:tr>
      <w:tr w:rsidR="00494F0F" w14:paraId="013AA99D" w14:textId="77777777">
        <w:tc>
          <w:tcPr>
            <w:tcW w:w="1412" w:type="dxa"/>
            <w:tcBorders>
              <w:top w:val="single" w:sz="4" w:space="0" w:color="000000"/>
              <w:left w:val="single" w:sz="4" w:space="0" w:color="000000"/>
              <w:bottom w:val="single" w:sz="4" w:space="0" w:color="000000"/>
              <w:right w:val="single" w:sz="4" w:space="0" w:color="000000"/>
            </w:tcBorders>
          </w:tcPr>
          <w:p w14:paraId="35A444E3" w14:textId="77777777" w:rsidR="00494F0F" w:rsidRDefault="00344196">
            <w:pPr>
              <w:widowControl w:val="0"/>
              <w:rPr>
                <w:rFonts w:ascii="Cambria" w:hAnsi="Cambria"/>
                <w:sz w:val="16"/>
              </w:rPr>
            </w:pPr>
            <w:proofErr w:type="gramStart"/>
            <w:r>
              <w:rPr>
                <w:rFonts w:ascii="Cambria" w:hAnsi="Cambria"/>
                <w:sz w:val="16"/>
              </w:rPr>
              <w:t>coup</w:t>
            </w:r>
            <w:proofErr w:type="gramEnd"/>
            <w:r>
              <w:rPr>
                <w:rFonts w:ascii="Cambria" w:hAnsi="Cambria"/>
                <w:sz w:val="16"/>
              </w:rPr>
              <w:t xml:space="preserve"> de feu</w:t>
            </w:r>
          </w:p>
        </w:tc>
        <w:tc>
          <w:tcPr>
            <w:tcW w:w="6662" w:type="dxa"/>
            <w:tcBorders>
              <w:top w:val="single" w:sz="4" w:space="0" w:color="000000"/>
              <w:left w:val="single" w:sz="4" w:space="0" w:color="000000"/>
              <w:bottom w:val="single" w:sz="4" w:space="0" w:color="000000"/>
              <w:right w:val="single" w:sz="4" w:space="0" w:color="000000"/>
            </w:tcBorders>
          </w:tcPr>
          <w:p w14:paraId="79F3823B"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met en lumière l'atmosphère de violence et d'insécurité qui règne dans l'environnement du narrateur.</w:t>
            </w:r>
          </w:p>
          <w:p w14:paraId="0DD7F7CA"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comment la violence est une présence constante et inévitable dans la vie du narrateur.</w:t>
            </w:r>
          </w:p>
        </w:tc>
        <w:tc>
          <w:tcPr>
            <w:tcW w:w="1277" w:type="dxa"/>
            <w:tcBorders>
              <w:top w:val="single" w:sz="4" w:space="0" w:color="000000"/>
              <w:left w:val="single" w:sz="4" w:space="0" w:color="000000"/>
              <w:bottom w:val="single" w:sz="4" w:space="0" w:color="000000"/>
              <w:right w:val="single" w:sz="4" w:space="0" w:color="000000"/>
            </w:tcBorders>
          </w:tcPr>
          <w:p w14:paraId="3149B8A8" w14:textId="77777777" w:rsidR="00494F0F" w:rsidRDefault="00344196">
            <w:pPr>
              <w:widowControl w:val="0"/>
              <w:rPr>
                <w:rFonts w:ascii="Cambria" w:hAnsi="Cambria"/>
              </w:rPr>
            </w:pPr>
            <w:r>
              <w:rPr>
                <w:rFonts w:ascii="Cambria" w:hAnsi="Cambria"/>
              </w:rPr>
              <w:t>-44</w:t>
            </w:r>
          </w:p>
          <w:p w14:paraId="743DC850" w14:textId="77777777" w:rsidR="00494F0F" w:rsidRDefault="00344196">
            <w:pPr>
              <w:widowControl w:val="0"/>
              <w:rPr>
                <w:rFonts w:ascii="Cambria" w:hAnsi="Cambria"/>
              </w:rPr>
            </w:pPr>
            <w:r>
              <w:rPr>
                <w:rFonts w:ascii="Cambria" w:hAnsi="Cambria"/>
              </w:rPr>
              <w:t>-49</w:t>
            </w:r>
          </w:p>
        </w:tc>
      </w:tr>
      <w:tr w:rsidR="00494F0F" w14:paraId="20DE26C7" w14:textId="77777777">
        <w:tc>
          <w:tcPr>
            <w:tcW w:w="1412" w:type="dxa"/>
            <w:tcBorders>
              <w:top w:val="single" w:sz="4" w:space="0" w:color="000000"/>
              <w:left w:val="single" w:sz="4" w:space="0" w:color="000000"/>
              <w:bottom w:val="single" w:sz="4" w:space="0" w:color="000000"/>
              <w:right w:val="single" w:sz="4" w:space="0" w:color="000000"/>
            </w:tcBorders>
          </w:tcPr>
          <w:p w14:paraId="4289ABF3" w14:textId="77777777" w:rsidR="00494F0F" w:rsidRDefault="00344196">
            <w:pPr>
              <w:widowControl w:val="0"/>
              <w:rPr>
                <w:rFonts w:ascii="Cambria" w:hAnsi="Cambria"/>
                <w:sz w:val="16"/>
              </w:rPr>
            </w:pPr>
            <w:proofErr w:type="gramStart"/>
            <w:r>
              <w:rPr>
                <w:rFonts w:ascii="Cambria" w:hAnsi="Cambria"/>
                <w:sz w:val="16"/>
              </w:rPr>
              <w:t>hockey</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369660CC"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comment le hockey, un sport emblématique au Canada, devient un moyen pour le narrateur de se connecter à la culture locale</w:t>
            </w:r>
          </w:p>
          <w:p w14:paraId="420C370B"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Le hockey est plus qu'un simple sport; c'est un élément central de la culture et de l'identité canadienne</w:t>
            </w:r>
          </w:p>
        </w:tc>
        <w:tc>
          <w:tcPr>
            <w:tcW w:w="1277" w:type="dxa"/>
            <w:tcBorders>
              <w:top w:val="single" w:sz="4" w:space="0" w:color="000000"/>
              <w:left w:val="single" w:sz="4" w:space="0" w:color="000000"/>
              <w:bottom w:val="single" w:sz="4" w:space="0" w:color="000000"/>
              <w:right w:val="single" w:sz="4" w:space="0" w:color="000000"/>
            </w:tcBorders>
          </w:tcPr>
          <w:p w14:paraId="69A87F07" w14:textId="77777777" w:rsidR="00494F0F" w:rsidRDefault="00344196">
            <w:pPr>
              <w:widowControl w:val="0"/>
              <w:rPr>
                <w:rFonts w:ascii="Cambria" w:hAnsi="Cambria"/>
              </w:rPr>
            </w:pPr>
            <w:r>
              <w:rPr>
                <w:rFonts w:ascii="Cambria" w:hAnsi="Cambria"/>
              </w:rPr>
              <w:t>-49</w:t>
            </w:r>
          </w:p>
          <w:p w14:paraId="001E2E2D" w14:textId="77777777" w:rsidR="00494F0F" w:rsidRDefault="00344196">
            <w:pPr>
              <w:widowControl w:val="0"/>
              <w:rPr>
                <w:rFonts w:ascii="Cambria" w:hAnsi="Cambria"/>
              </w:rPr>
            </w:pPr>
            <w:r>
              <w:rPr>
                <w:rFonts w:ascii="Cambria" w:hAnsi="Cambria"/>
              </w:rPr>
              <w:t>-14</w:t>
            </w:r>
          </w:p>
        </w:tc>
      </w:tr>
      <w:tr w:rsidR="00494F0F" w14:paraId="508B3451" w14:textId="77777777">
        <w:tc>
          <w:tcPr>
            <w:tcW w:w="1412" w:type="dxa"/>
            <w:tcBorders>
              <w:top w:val="single" w:sz="4" w:space="0" w:color="000000"/>
              <w:left w:val="single" w:sz="4" w:space="0" w:color="000000"/>
              <w:bottom w:val="single" w:sz="4" w:space="0" w:color="000000"/>
              <w:right w:val="single" w:sz="4" w:space="0" w:color="000000"/>
            </w:tcBorders>
          </w:tcPr>
          <w:p w14:paraId="05825D24" w14:textId="77777777" w:rsidR="00494F0F" w:rsidRDefault="00344196">
            <w:pPr>
              <w:widowControl w:val="0"/>
              <w:rPr>
                <w:rFonts w:ascii="Cambria" w:hAnsi="Cambria"/>
                <w:sz w:val="16"/>
              </w:rPr>
            </w:pPr>
            <w:proofErr w:type="gramStart"/>
            <w:r>
              <w:rPr>
                <w:rFonts w:ascii="Cambria" w:hAnsi="Cambria"/>
                <w:sz w:val="16"/>
              </w:rPr>
              <w:t>métro</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753BDC75"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que le métro est un lieu d'observation et de réflexion pour le narrateur.</w:t>
            </w:r>
          </w:p>
          <w:p w14:paraId="14855F0E"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met en lumière le rôle du métro comme un espace de convergence pour les travailleurs immigrés et les classes populaires</w:t>
            </w:r>
          </w:p>
        </w:tc>
        <w:tc>
          <w:tcPr>
            <w:tcW w:w="1277" w:type="dxa"/>
            <w:tcBorders>
              <w:top w:val="single" w:sz="4" w:space="0" w:color="000000"/>
              <w:left w:val="single" w:sz="4" w:space="0" w:color="000000"/>
              <w:bottom w:val="single" w:sz="4" w:space="0" w:color="000000"/>
              <w:right w:val="single" w:sz="4" w:space="0" w:color="000000"/>
            </w:tcBorders>
          </w:tcPr>
          <w:p w14:paraId="5B9C5AF3" w14:textId="77777777" w:rsidR="00494F0F" w:rsidRDefault="00344196">
            <w:pPr>
              <w:widowControl w:val="0"/>
              <w:rPr>
                <w:rFonts w:ascii="Cambria" w:hAnsi="Cambria"/>
              </w:rPr>
            </w:pPr>
            <w:r>
              <w:rPr>
                <w:rFonts w:ascii="Cambria" w:hAnsi="Cambria"/>
              </w:rPr>
              <w:t>-54</w:t>
            </w:r>
          </w:p>
          <w:p w14:paraId="185A0554" w14:textId="77777777" w:rsidR="00494F0F" w:rsidRDefault="00344196">
            <w:pPr>
              <w:widowControl w:val="0"/>
              <w:rPr>
                <w:rFonts w:ascii="Cambria" w:hAnsi="Cambria"/>
              </w:rPr>
            </w:pPr>
            <w:r>
              <w:rPr>
                <w:rFonts w:ascii="Cambria" w:hAnsi="Cambria"/>
              </w:rPr>
              <w:t>-107</w:t>
            </w:r>
          </w:p>
        </w:tc>
      </w:tr>
      <w:tr w:rsidR="00494F0F" w14:paraId="5B3F9309" w14:textId="77777777">
        <w:tc>
          <w:tcPr>
            <w:tcW w:w="1412" w:type="dxa"/>
            <w:tcBorders>
              <w:top w:val="single" w:sz="4" w:space="0" w:color="000000"/>
              <w:left w:val="single" w:sz="4" w:space="0" w:color="000000"/>
              <w:bottom w:val="single" w:sz="4" w:space="0" w:color="000000"/>
              <w:right w:val="single" w:sz="4" w:space="0" w:color="000000"/>
            </w:tcBorders>
          </w:tcPr>
          <w:p w14:paraId="0762E83D" w14:textId="77777777" w:rsidR="00494F0F" w:rsidRDefault="00344196">
            <w:pPr>
              <w:widowControl w:val="0"/>
              <w:rPr>
                <w:rFonts w:ascii="Cambria" w:hAnsi="Cambria"/>
                <w:sz w:val="16"/>
              </w:rPr>
            </w:pPr>
            <w:proofErr w:type="gramStart"/>
            <w:r>
              <w:rPr>
                <w:rFonts w:ascii="Cambria" w:hAnsi="Cambria"/>
                <w:sz w:val="16"/>
              </w:rPr>
              <w:t>prince</w:t>
            </w:r>
            <w:proofErr w:type="gramEnd"/>
            <w:r>
              <w:rPr>
                <w:rFonts w:ascii="Cambria" w:hAnsi="Cambria"/>
                <w:sz w:val="16"/>
              </w:rPr>
              <w:t xml:space="preserve"> </w:t>
            </w:r>
          </w:p>
        </w:tc>
        <w:tc>
          <w:tcPr>
            <w:tcW w:w="6662" w:type="dxa"/>
            <w:tcBorders>
              <w:top w:val="single" w:sz="4" w:space="0" w:color="000000"/>
              <w:left w:val="single" w:sz="4" w:space="0" w:color="000000"/>
              <w:bottom w:val="single" w:sz="4" w:space="0" w:color="000000"/>
              <w:right w:val="single" w:sz="4" w:space="0" w:color="000000"/>
            </w:tcBorders>
          </w:tcPr>
          <w:p w14:paraId="78741358"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que Port-au-Prince, la capitale d'Haïti, représente un lieu de nostalgie et de frustration pour le narrateur</w:t>
            </w:r>
          </w:p>
          <w:p w14:paraId="18171719"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lastRenderedPageBreak/>
              <w:t>-La ville est un point de référence constant, un lieu de mémoire et de désir</w:t>
            </w:r>
          </w:p>
        </w:tc>
        <w:tc>
          <w:tcPr>
            <w:tcW w:w="1277" w:type="dxa"/>
            <w:tcBorders>
              <w:top w:val="single" w:sz="4" w:space="0" w:color="000000"/>
              <w:left w:val="single" w:sz="4" w:space="0" w:color="000000"/>
              <w:bottom w:val="single" w:sz="4" w:space="0" w:color="000000"/>
              <w:right w:val="single" w:sz="4" w:space="0" w:color="000000"/>
            </w:tcBorders>
          </w:tcPr>
          <w:p w14:paraId="48DDE4EF" w14:textId="77777777" w:rsidR="00494F0F" w:rsidRDefault="00344196">
            <w:pPr>
              <w:widowControl w:val="0"/>
              <w:rPr>
                <w:rFonts w:ascii="Cambria" w:hAnsi="Cambria"/>
              </w:rPr>
            </w:pPr>
            <w:r>
              <w:rPr>
                <w:rFonts w:ascii="Cambria" w:hAnsi="Cambria"/>
              </w:rPr>
              <w:lastRenderedPageBreak/>
              <w:t>-103</w:t>
            </w:r>
          </w:p>
          <w:p w14:paraId="03A49047" w14:textId="77777777" w:rsidR="00494F0F" w:rsidRDefault="00344196">
            <w:pPr>
              <w:widowControl w:val="0"/>
              <w:rPr>
                <w:rFonts w:ascii="Cambria" w:hAnsi="Cambria"/>
              </w:rPr>
            </w:pPr>
            <w:r>
              <w:rPr>
                <w:rFonts w:ascii="Cambria" w:hAnsi="Cambria"/>
              </w:rPr>
              <w:t>-103</w:t>
            </w:r>
          </w:p>
        </w:tc>
      </w:tr>
      <w:tr w:rsidR="00494F0F" w14:paraId="5FEBA426" w14:textId="77777777">
        <w:tc>
          <w:tcPr>
            <w:tcW w:w="1412" w:type="dxa"/>
            <w:tcBorders>
              <w:top w:val="single" w:sz="4" w:space="0" w:color="000000"/>
              <w:left w:val="single" w:sz="4" w:space="0" w:color="000000"/>
              <w:bottom w:val="single" w:sz="4" w:space="0" w:color="000000"/>
              <w:right w:val="single" w:sz="4" w:space="0" w:color="000000"/>
            </w:tcBorders>
          </w:tcPr>
          <w:p w14:paraId="30F8B6A8" w14:textId="77777777" w:rsidR="00494F0F" w:rsidRDefault="00344196">
            <w:pPr>
              <w:widowControl w:val="0"/>
              <w:rPr>
                <w:rFonts w:ascii="Cambria" w:hAnsi="Cambria"/>
                <w:sz w:val="16"/>
              </w:rPr>
            </w:pPr>
            <w:r>
              <w:rPr>
                <w:rFonts w:ascii="Cambria" w:hAnsi="Cambria"/>
                <w:sz w:val="16"/>
              </w:rPr>
              <w:t>Antonio</w:t>
            </w:r>
          </w:p>
        </w:tc>
        <w:tc>
          <w:tcPr>
            <w:tcW w:w="6662" w:type="dxa"/>
            <w:tcBorders>
              <w:top w:val="single" w:sz="4" w:space="0" w:color="000000"/>
              <w:left w:val="single" w:sz="4" w:space="0" w:color="000000"/>
              <w:bottom w:val="single" w:sz="4" w:space="0" w:color="000000"/>
              <w:right w:val="single" w:sz="4" w:space="0" w:color="000000"/>
            </w:tcBorders>
          </w:tcPr>
          <w:p w14:paraId="50842492"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Antonio comme un personnage ancré dans la nostalgie et les traditions de son passé.</w:t>
            </w:r>
          </w:p>
          <w:p w14:paraId="787BD133"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Antonio comme une figure paternaliste et bienveillante, mais aussi comme un personnage complexe avec des attentes et des valeurs traditionnelles</w:t>
            </w:r>
          </w:p>
        </w:tc>
        <w:tc>
          <w:tcPr>
            <w:tcW w:w="1277" w:type="dxa"/>
            <w:tcBorders>
              <w:top w:val="single" w:sz="4" w:space="0" w:color="000000"/>
              <w:left w:val="single" w:sz="4" w:space="0" w:color="000000"/>
              <w:bottom w:val="single" w:sz="4" w:space="0" w:color="000000"/>
              <w:right w:val="single" w:sz="4" w:space="0" w:color="000000"/>
            </w:tcBorders>
          </w:tcPr>
          <w:p w14:paraId="41157B67" w14:textId="77777777" w:rsidR="00494F0F" w:rsidRDefault="00344196">
            <w:pPr>
              <w:widowControl w:val="0"/>
              <w:rPr>
                <w:rFonts w:ascii="Cambria" w:hAnsi="Cambria"/>
              </w:rPr>
            </w:pPr>
            <w:r>
              <w:rPr>
                <w:rFonts w:ascii="Cambria" w:hAnsi="Cambria"/>
              </w:rPr>
              <w:t>-58</w:t>
            </w:r>
          </w:p>
          <w:p w14:paraId="702BEB38" w14:textId="77777777" w:rsidR="00494F0F" w:rsidRDefault="00344196">
            <w:pPr>
              <w:widowControl w:val="0"/>
              <w:rPr>
                <w:rFonts w:ascii="Cambria" w:hAnsi="Cambria"/>
              </w:rPr>
            </w:pPr>
            <w:r>
              <w:rPr>
                <w:rFonts w:ascii="Cambria" w:hAnsi="Cambria"/>
              </w:rPr>
              <w:t>-56</w:t>
            </w:r>
          </w:p>
        </w:tc>
      </w:tr>
      <w:tr w:rsidR="00494F0F" w14:paraId="5419009B" w14:textId="77777777">
        <w:tc>
          <w:tcPr>
            <w:tcW w:w="1412" w:type="dxa"/>
            <w:tcBorders>
              <w:top w:val="single" w:sz="4" w:space="0" w:color="000000"/>
              <w:left w:val="single" w:sz="4" w:space="0" w:color="000000"/>
              <w:bottom w:val="single" w:sz="4" w:space="0" w:color="000000"/>
              <w:right w:val="single" w:sz="4" w:space="0" w:color="000000"/>
            </w:tcBorders>
          </w:tcPr>
          <w:p w14:paraId="6E0539B7" w14:textId="77777777" w:rsidR="00494F0F" w:rsidRDefault="00344196">
            <w:pPr>
              <w:widowControl w:val="0"/>
              <w:rPr>
                <w:rFonts w:ascii="Cambria" w:hAnsi="Cambria"/>
                <w:sz w:val="16"/>
              </w:rPr>
            </w:pPr>
            <w:r>
              <w:rPr>
                <w:rFonts w:ascii="Cambria" w:hAnsi="Cambria"/>
                <w:sz w:val="16"/>
              </w:rPr>
              <w:t>Vicky</w:t>
            </w:r>
          </w:p>
        </w:tc>
        <w:tc>
          <w:tcPr>
            <w:tcW w:w="6662" w:type="dxa"/>
            <w:tcBorders>
              <w:top w:val="single" w:sz="4" w:space="0" w:color="000000"/>
              <w:left w:val="single" w:sz="4" w:space="0" w:color="000000"/>
              <w:bottom w:val="single" w:sz="4" w:space="0" w:color="000000"/>
              <w:right w:val="single" w:sz="4" w:space="0" w:color="000000"/>
            </w:tcBorders>
          </w:tcPr>
          <w:p w14:paraId="5984219B"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montre que Vicky est une figure de complicité et de camaraderie pour le narrateur. </w:t>
            </w:r>
          </w:p>
          <w:p w14:paraId="3D0A2887" w14:textId="7777777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-Ce passage met en lumière la complexité de la relation entre Vicky et le narrateur</w:t>
            </w:r>
          </w:p>
        </w:tc>
        <w:tc>
          <w:tcPr>
            <w:tcW w:w="1277" w:type="dxa"/>
            <w:tcBorders>
              <w:top w:val="single" w:sz="4" w:space="0" w:color="000000"/>
              <w:left w:val="single" w:sz="4" w:space="0" w:color="000000"/>
              <w:bottom w:val="single" w:sz="4" w:space="0" w:color="000000"/>
              <w:right w:val="single" w:sz="4" w:space="0" w:color="000000"/>
            </w:tcBorders>
          </w:tcPr>
          <w:p w14:paraId="49C18820" w14:textId="77777777" w:rsidR="00494F0F" w:rsidRDefault="00344196">
            <w:pPr>
              <w:widowControl w:val="0"/>
              <w:rPr>
                <w:rFonts w:ascii="Cambria" w:hAnsi="Cambria"/>
              </w:rPr>
            </w:pPr>
            <w:r>
              <w:rPr>
                <w:rFonts w:ascii="Cambria" w:hAnsi="Cambria"/>
              </w:rPr>
              <w:t>-173</w:t>
            </w:r>
          </w:p>
          <w:p w14:paraId="20901F99" w14:textId="77777777" w:rsidR="00494F0F" w:rsidRDefault="00344196">
            <w:pPr>
              <w:widowControl w:val="0"/>
              <w:rPr>
                <w:rFonts w:ascii="Cambria" w:hAnsi="Cambria"/>
              </w:rPr>
            </w:pPr>
            <w:r>
              <w:rPr>
                <w:rFonts w:ascii="Cambria" w:hAnsi="Cambria"/>
              </w:rPr>
              <w:t>-63</w:t>
            </w:r>
          </w:p>
        </w:tc>
      </w:tr>
      <w:tr w:rsidR="00494F0F" w14:paraId="393A8F90" w14:textId="77777777">
        <w:tc>
          <w:tcPr>
            <w:tcW w:w="1412" w:type="dxa"/>
            <w:tcBorders>
              <w:top w:val="single" w:sz="4" w:space="0" w:color="000000"/>
              <w:left w:val="single" w:sz="4" w:space="0" w:color="000000"/>
              <w:bottom w:val="single" w:sz="4" w:space="0" w:color="000000"/>
              <w:right w:val="single" w:sz="4" w:space="0" w:color="000000"/>
            </w:tcBorders>
          </w:tcPr>
          <w:p w14:paraId="5E3913D9" w14:textId="77777777" w:rsidR="00494F0F" w:rsidRDefault="00344196">
            <w:pPr>
              <w:widowControl w:val="0"/>
              <w:rPr>
                <w:rFonts w:ascii="Cambria" w:hAnsi="Cambria"/>
                <w:sz w:val="16"/>
              </w:rPr>
            </w:pPr>
            <w:proofErr w:type="gramStart"/>
            <w:r>
              <w:rPr>
                <w:rFonts w:ascii="Cambria" w:hAnsi="Cambria"/>
                <w:sz w:val="16"/>
              </w:rPr>
              <w:t>jazz</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4EBB47FE" w14:textId="287EDCE8"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montre que le jazz est un moyen de communication et de connexion pour le narrateur.</w:t>
            </w:r>
          </w:p>
          <w:p w14:paraId="01C5C527" w14:textId="3416D4B5"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Ici, le jazz est comparé à un moment de solitude et de plaisir personnel.</w:t>
            </w:r>
          </w:p>
        </w:tc>
        <w:tc>
          <w:tcPr>
            <w:tcW w:w="1277" w:type="dxa"/>
            <w:tcBorders>
              <w:top w:val="single" w:sz="4" w:space="0" w:color="000000"/>
              <w:left w:val="single" w:sz="4" w:space="0" w:color="000000"/>
              <w:bottom w:val="single" w:sz="4" w:space="0" w:color="000000"/>
              <w:right w:val="single" w:sz="4" w:space="0" w:color="000000"/>
            </w:tcBorders>
          </w:tcPr>
          <w:p w14:paraId="1B290F89" w14:textId="213DE273" w:rsidR="00494F0F" w:rsidRDefault="00344196">
            <w:pPr>
              <w:widowControl w:val="0"/>
              <w:rPr>
                <w:rFonts w:ascii="Cambria" w:hAnsi="Cambria"/>
              </w:rPr>
            </w:pPr>
            <w:r>
              <w:rPr>
                <w:rFonts w:ascii="Cambria" w:hAnsi="Cambria"/>
              </w:rPr>
              <w:t>-</w:t>
            </w:r>
            <w:r w:rsidR="00293437">
              <w:rPr>
                <w:rFonts w:ascii="Cambria" w:hAnsi="Cambria"/>
              </w:rPr>
              <w:t>65</w:t>
            </w:r>
          </w:p>
          <w:p w14:paraId="1145AE40" w14:textId="5465BE03" w:rsidR="00494F0F" w:rsidRDefault="00344196">
            <w:pPr>
              <w:widowControl w:val="0"/>
              <w:rPr>
                <w:rFonts w:ascii="Cambria" w:hAnsi="Cambria"/>
              </w:rPr>
            </w:pPr>
            <w:r>
              <w:rPr>
                <w:rFonts w:ascii="Cambria" w:hAnsi="Cambria"/>
              </w:rPr>
              <w:t>-</w:t>
            </w:r>
            <w:r w:rsidR="00293437">
              <w:rPr>
                <w:rFonts w:ascii="Cambria" w:hAnsi="Cambria"/>
              </w:rPr>
              <w:t>66</w:t>
            </w:r>
          </w:p>
        </w:tc>
      </w:tr>
      <w:tr w:rsidR="00494F0F" w14:paraId="725C2CC5" w14:textId="77777777">
        <w:tc>
          <w:tcPr>
            <w:tcW w:w="1412" w:type="dxa"/>
            <w:tcBorders>
              <w:top w:val="single" w:sz="4" w:space="0" w:color="000000"/>
              <w:left w:val="single" w:sz="4" w:space="0" w:color="000000"/>
              <w:bottom w:val="single" w:sz="4" w:space="0" w:color="000000"/>
              <w:right w:val="single" w:sz="4" w:space="0" w:color="000000"/>
            </w:tcBorders>
          </w:tcPr>
          <w:p w14:paraId="16A257A3" w14:textId="77777777" w:rsidR="00494F0F" w:rsidRDefault="00344196">
            <w:pPr>
              <w:widowControl w:val="0"/>
              <w:rPr>
                <w:rFonts w:ascii="Cambria" w:hAnsi="Cambria"/>
                <w:sz w:val="16"/>
              </w:rPr>
            </w:pPr>
            <w:proofErr w:type="gramStart"/>
            <w:r>
              <w:rPr>
                <w:rFonts w:ascii="Cambria" w:hAnsi="Cambria"/>
                <w:sz w:val="16"/>
              </w:rPr>
              <w:t>fouille</w:t>
            </w:r>
            <w:proofErr w:type="gramEnd"/>
            <w:r>
              <w:rPr>
                <w:rFonts w:ascii="Cambria" w:hAnsi="Cambria"/>
                <w:sz w:val="16"/>
              </w:rPr>
              <w:t xml:space="preserve"> </w:t>
            </w:r>
          </w:p>
        </w:tc>
        <w:tc>
          <w:tcPr>
            <w:tcW w:w="6662" w:type="dxa"/>
            <w:tcBorders>
              <w:top w:val="single" w:sz="4" w:space="0" w:color="000000"/>
              <w:left w:val="single" w:sz="4" w:space="0" w:color="000000"/>
              <w:bottom w:val="single" w:sz="4" w:space="0" w:color="000000"/>
              <w:right w:val="single" w:sz="4" w:space="0" w:color="000000"/>
            </w:tcBorders>
          </w:tcPr>
          <w:p w14:paraId="6D08D743" w14:textId="62E2895C"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montre une scène de fouille par la police, qui est décrite de manière détaillée et intrusive. La fouille représente ici un acte de contrôle et d'intimidation</w:t>
            </w:r>
          </w:p>
          <w:p w14:paraId="07371762" w14:textId="05B5093C"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fait écho à une expérience antérieure de fouille et de confiscation, cette fois par un professeur</w:t>
            </w:r>
          </w:p>
        </w:tc>
        <w:tc>
          <w:tcPr>
            <w:tcW w:w="1277" w:type="dxa"/>
            <w:tcBorders>
              <w:top w:val="single" w:sz="4" w:space="0" w:color="000000"/>
              <w:left w:val="single" w:sz="4" w:space="0" w:color="000000"/>
              <w:bottom w:val="single" w:sz="4" w:space="0" w:color="000000"/>
              <w:right w:val="single" w:sz="4" w:space="0" w:color="000000"/>
            </w:tcBorders>
          </w:tcPr>
          <w:p w14:paraId="6788CFC2" w14:textId="5E876EF4" w:rsidR="00494F0F" w:rsidRDefault="00344196" w:rsidP="00293437">
            <w:pPr>
              <w:widowControl w:val="0"/>
              <w:tabs>
                <w:tab w:val="left" w:pos="750"/>
              </w:tabs>
              <w:rPr>
                <w:rFonts w:ascii="Cambria" w:hAnsi="Cambria"/>
              </w:rPr>
            </w:pPr>
            <w:r>
              <w:rPr>
                <w:rFonts w:ascii="Cambria" w:hAnsi="Cambria"/>
              </w:rPr>
              <w:t>-</w:t>
            </w:r>
            <w:r w:rsidR="00293437">
              <w:rPr>
                <w:rFonts w:ascii="Cambria" w:hAnsi="Cambria"/>
              </w:rPr>
              <w:t>69</w:t>
            </w:r>
          </w:p>
          <w:p w14:paraId="0697386C" w14:textId="0297BDA9" w:rsidR="00494F0F" w:rsidRDefault="00344196">
            <w:pPr>
              <w:widowControl w:val="0"/>
              <w:rPr>
                <w:rFonts w:ascii="Cambria" w:hAnsi="Cambria"/>
              </w:rPr>
            </w:pPr>
            <w:r>
              <w:rPr>
                <w:rFonts w:ascii="Cambria" w:hAnsi="Cambria"/>
              </w:rPr>
              <w:t>-</w:t>
            </w:r>
            <w:r w:rsidR="00293437">
              <w:rPr>
                <w:rFonts w:ascii="Cambria" w:hAnsi="Cambria"/>
              </w:rPr>
              <w:t>69</w:t>
            </w:r>
          </w:p>
        </w:tc>
      </w:tr>
      <w:tr w:rsidR="00494F0F" w14:paraId="3E8FDB12" w14:textId="77777777">
        <w:tc>
          <w:tcPr>
            <w:tcW w:w="1412" w:type="dxa"/>
            <w:tcBorders>
              <w:top w:val="single" w:sz="4" w:space="0" w:color="000000"/>
              <w:left w:val="single" w:sz="4" w:space="0" w:color="000000"/>
              <w:bottom w:val="single" w:sz="4" w:space="0" w:color="000000"/>
              <w:right w:val="single" w:sz="4" w:space="0" w:color="000000"/>
            </w:tcBorders>
          </w:tcPr>
          <w:p w14:paraId="552E81D8" w14:textId="77777777" w:rsidR="00494F0F" w:rsidRDefault="00344196">
            <w:pPr>
              <w:widowControl w:val="0"/>
              <w:rPr>
                <w:rFonts w:ascii="Cambria" w:hAnsi="Cambria"/>
                <w:sz w:val="16"/>
              </w:rPr>
            </w:pPr>
            <w:proofErr w:type="gramStart"/>
            <w:r>
              <w:rPr>
                <w:rFonts w:ascii="Cambria" w:hAnsi="Cambria"/>
                <w:sz w:val="16"/>
              </w:rPr>
              <w:t>librairie</w:t>
            </w:r>
            <w:proofErr w:type="gramEnd"/>
            <w:r>
              <w:rPr>
                <w:rFonts w:ascii="Cambria" w:hAnsi="Cambria"/>
                <w:sz w:val="16"/>
              </w:rPr>
              <w:t xml:space="preserve"> </w:t>
            </w:r>
          </w:p>
        </w:tc>
        <w:tc>
          <w:tcPr>
            <w:tcW w:w="6662" w:type="dxa"/>
            <w:tcBorders>
              <w:top w:val="single" w:sz="4" w:space="0" w:color="000000"/>
              <w:left w:val="single" w:sz="4" w:space="0" w:color="000000"/>
              <w:bottom w:val="single" w:sz="4" w:space="0" w:color="000000"/>
              <w:right w:val="single" w:sz="4" w:space="0" w:color="000000"/>
            </w:tcBorders>
          </w:tcPr>
          <w:p w14:paraId="7438141B" w14:textId="2B6BE333"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montre que la librairie est un lieu de rencontre et de refuge pour le narrateur. C'est un espace où il peut se détendre, lire et discuter avec des amis partageant les mêmes intérêts littéraires.</w:t>
            </w:r>
          </w:p>
          <w:p w14:paraId="26684B71" w14:textId="36480158"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souligne l'importance émotionnelle et culturelle de la librairie pour le narrateur. La fermeture de la librairie est comparée à la destruction de la Bibliothèque d'Alexandrie, un événement historique tragique pour les lettrés.</w:t>
            </w:r>
          </w:p>
        </w:tc>
        <w:tc>
          <w:tcPr>
            <w:tcW w:w="1277" w:type="dxa"/>
            <w:tcBorders>
              <w:top w:val="single" w:sz="4" w:space="0" w:color="000000"/>
              <w:left w:val="single" w:sz="4" w:space="0" w:color="000000"/>
              <w:bottom w:val="single" w:sz="4" w:space="0" w:color="000000"/>
              <w:right w:val="single" w:sz="4" w:space="0" w:color="000000"/>
            </w:tcBorders>
          </w:tcPr>
          <w:p w14:paraId="0A22FCCE" w14:textId="5C09DDBE" w:rsidR="00494F0F" w:rsidRDefault="00344196">
            <w:pPr>
              <w:widowControl w:val="0"/>
              <w:rPr>
                <w:rFonts w:ascii="Cambria" w:hAnsi="Cambria"/>
              </w:rPr>
            </w:pPr>
            <w:r>
              <w:rPr>
                <w:rFonts w:ascii="Cambria" w:hAnsi="Cambria"/>
              </w:rPr>
              <w:t>-</w:t>
            </w:r>
            <w:r w:rsidR="00293437">
              <w:rPr>
                <w:rFonts w:ascii="Cambria" w:hAnsi="Cambria"/>
              </w:rPr>
              <w:t>72</w:t>
            </w:r>
          </w:p>
          <w:p w14:paraId="7B491AA3" w14:textId="54180915" w:rsidR="00494F0F" w:rsidRDefault="00344196">
            <w:pPr>
              <w:widowControl w:val="0"/>
              <w:rPr>
                <w:rFonts w:ascii="Cambria" w:hAnsi="Cambria"/>
              </w:rPr>
            </w:pPr>
            <w:r>
              <w:rPr>
                <w:rFonts w:ascii="Cambria" w:hAnsi="Cambria"/>
              </w:rPr>
              <w:t>-</w:t>
            </w:r>
            <w:r w:rsidR="00293437">
              <w:rPr>
                <w:rFonts w:ascii="Cambria" w:hAnsi="Cambria"/>
              </w:rPr>
              <w:t>72</w:t>
            </w:r>
          </w:p>
        </w:tc>
      </w:tr>
      <w:tr w:rsidR="00494F0F" w14:paraId="57F6ED88" w14:textId="77777777">
        <w:tc>
          <w:tcPr>
            <w:tcW w:w="1412" w:type="dxa"/>
            <w:tcBorders>
              <w:top w:val="single" w:sz="4" w:space="0" w:color="000000"/>
              <w:left w:val="single" w:sz="4" w:space="0" w:color="000000"/>
              <w:bottom w:val="single" w:sz="4" w:space="0" w:color="000000"/>
              <w:right w:val="single" w:sz="4" w:space="0" w:color="000000"/>
            </w:tcBorders>
          </w:tcPr>
          <w:p w14:paraId="2FD4251F" w14:textId="77777777" w:rsidR="00494F0F" w:rsidRDefault="00344196">
            <w:pPr>
              <w:widowControl w:val="0"/>
              <w:rPr>
                <w:rFonts w:ascii="Cambria" w:hAnsi="Cambria"/>
                <w:sz w:val="16"/>
              </w:rPr>
            </w:pPr>
            <w:proofErr w:type="gramStart"/>
            <w:r>
              <w:rPr>
                <w:rFonts w:ascii="Cambria" w:hAnsi="Cambria"/>
                <w:sz w:val="16"/>
              </w:rPr>
              <w:t>buanderie</w:t>
            </w:r>
            <w:proofErr w:type="gramEnd"/>
            <w:r>
              <w:rPr>
                <w:rFonts w:ascii="Cambria" w:hAnsi="Cambria"/>
                <w:sz w:val="16"/>
              </w:rPr>
              <w:t xml:space="preserve"> </w:t>
            </w:r>
          </w:p>
        </w:tc>
        <w:tc>
          <w:tcPr>
            <w:tcW w:w="6662" w:type="dxa"/>
            <w:tcBorders>
              <w:top w:val="single" w:sz="4" w:space="0" w:color="000000"/>
              <w:left w:val="single" w:sz="4" w:space="0" w:color="000000"/>
              <w:bottom w:val="single" w:sz="4" w:space="0" w:color="000000"/>
              <w:right w:val="single" w:sz="4" w:space="0" w:color="000000"/>
            </w:tcBorders>
          </w:tcPr>
          <w:p w14:paraId="14D89B18" w14:textId="77777777" w:rsidR="00293437"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montre que la buanderie est un lieu de rencontre et d'interaction pour le narrateur. La "grosse femme de la buanderie" joue un rôle important dans sa vie quotidienne, non seulement en apportant des provisions mais aussi en partageant des moments intimes avec lui. </w:t>
            </w:r>
          </w:p>
          <w:p w14:paraId="4DB56ED2" w14:textId="5F1ECF32"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renforce l'idée que la buanderie est un lieu de relations humaines et d'intimité. La "grosse femme de la buanderie" est décrite de manière affectueuse et détaillée, soulignant son importance dans la vie du narrateur</w:t>
            </w:r>
          </w:p>
        </w:tc>
        <w:tc>
          <w:tcPr>
            <w:tcW w:w="1277" w:type="dxa"/>
            <w:tcBorders>
              <w:top w:val="single" w:sz="4" w:space="0" w:color="000000"/>
              <w:left w:val="single" w:sz="4" w:space="0" w:color="000000"/>
              <w:bottom w:val="single" w:sz="4" w:space="0" w:color="000000"/>
              <w:right w:val="single" w:sz="4" w:space="0" w:color="000000"/>
            </w:tcBorders>
          </w:tcPr>
          <w:p w14:paraId="446946EE" w14:textId="4E955AFE" w:rsidR="00494F0F" w:rsidRDefault="00344196">
            <w:pPr>
              <w:widowControl w:val="0"/>
              <w:rPr>
                <w:rFonts w:ascii="Cambria" w:hAnsi="Cambria"/>
              </w:rPr>
            </w:pPr>
            <w:r>
              <w:rPr>
                <w:rFonts w:ascii="Cambria" w:hAnsi="Cambria"/>
              </w:rPr>
              <w:t>-</w:t>
            </w:r>
            <w:r w:rsidR="00293437">
              <w:rPr>
                <w:rFonts w:ascii="Cambria" w:hAnsi="Cambria"/>
              </w:rPr>
              <w:t>164</w:t>
            </w:r>
          </w:p>
          <w:p w14:paraId="15D2EDBB" w14:textId="10B8DC2F" w:rsidR="00494F0F" w:rsidRDefault="00344196">
            <w:pPr>
              <w:widowControl w:val="0"/>
              <w:rPr>
                <w:rFonts w:ascii="Cambria" w:hAnsi="Cambria"/>
              </w:rPr>
            </w:pPr>
            <w:r>
              <w:rPr>
                <w:rFonts w:ascii="Cambria" w:hAnsi="Cambria"/>
              </w:rPr>
              <w:t>-</w:t>
            </w:r>
            <w:r w:rsidR="00293437">
              <w:rPr>
                <w:rFonts w:ascii="Cambria" w:hAnsi="Cambria"/>
              </w:rPr>
              <w:t>135</w:t>
            </w:r>
          </w:p>
        </w:tc>
      </w:tr>
      <w:tr w:rsidR="00494F0F" w14:paraId="55C79C69" w14:textId="77777777">
        <w:tc>
          <w:tcPr>
            <w:tcW w:w="1412" w:type="dxa"/>
            <w:tcBorders>
              <w:top w:val="single" w:sz="4" w:space="0" w:color="000000"/>
              <w:left w:val="single" w:sz="4" w:space="0" w:color="000000"/>
              <w:bottom w:val="single" w:sz="4" w:space="0" w:color="000000"/>
              <w:right w:val="single" w:sz="4" w:space="0" w:color="000000"/>
            </w:tcBorders>
          </w:tcPr>
          <w:p w14:paraId="37036900" w14:textId="77777777" w:rsidR="00494F0F" w:rsidRDefault="00344196">
            <w:pPr>
              <w:widowControl w:val="0"/>
              <w:rPr>
                <w:rFonts w:ascii="Cambria" w:hAnsi="Cambria"/>
                <w:sz w:val="16"/>
              </w:rPr>
            </w:pPr>
            <w:r>
              <w:rPr>
                <w:rFonts w:ascii="Cambria" w:hAnsi="Cambria"/>
                <w:sz w:val="16"/>
              </w:rPr>
              <w:t>Mongo</w:t>
            </w:r>
          </w:p>
        </w:tc>
        <w:tc>
          <w:tcPr>
            <w:tcW w:w="6662" w:type="dxa"/>
            <w:tcBorders>
              <w:top w:val="single" w:sz="4" w:space="0" w:color="000000"/>
              <w:left w:val="single" w:sz="4" w:space="0" w:color="000000"/>
              <w:bottom w:val="single" w:sz="4" w:space="0" w:color="000000"/>
              <w:right w:val="single" w:sz="4" w:space="0" w:color="000000"/>
            </w:tcBorders>
          </w:tcPr>
          <w:p w14:paraId="18E002BD" w14:textId="6004402D"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montre que Mongo est un personnage charismatique et influent, capable de transformer l'attitude des autres autour de lui.</w:t>
            </w:r>
          </w:p>
          <w:p w14:paraId="64D5C90D" w14:textId="17479B1E" w:rsidR="00494F0F" w:rsidRPr="002730FC" w:rsidRDefault="00293437" w:rsidP="002730FC">
            <w:pPr>
              <w:rPr>
                <w:rFonts w:asciiTheme="minorHAnsi" w:hAnsiTheme="minorHAnsi" w:cstheme="minorHAnsi"/>
                <w:sz w:val="16"/>
                <w:szCs w:val="16"/>
              </w:rPr>
            </w:pPr>
            <w:r w:rsidRPr="002730FC">
              <w:rPr>
                <w:rFonts w:asciiTheme="minorHAnsi" w:hAnsiTheme="minorHAnsi" w:cstheme="minorHAnsi"/>
                <w:sz w:val="16"/>
                <w:szCs w:val="16"/>
              </w:rPr>
              <w:t xml:space="preserve">- Ce passage renforce l'idée que Mongo </w:t>
            </w:r>
            <w:proofErr w:type="gramStart"/>
            <w:r w:rsidRPr="002730FC">
              <w:rPr>
                <w:rFonts w:asciiTheme="minorHAnsi" w:hAnsiTheme="minorHAnsi" w:cstheme="minorHAnsi"/>
                <w:sz w:val="16"/>
                <w:szCs w:val="16"/>
              </w:rPr>
              <w:t>a</w:t>
            </w:r>
            <w:proofErr w:type="gramEnd"/>
            <w:r w:rsidRPr="002730FC">
              <w:rPr>
                <w:rFonts w:asciiTheme="minorHAnsi" w:hAnsiTheme="minorHAnsi" w:cstheme="minorHAnsi"/>
                <w:sz w:val="16"/>
                <w:szCs w:val="16"/>
              </w:rPr>
              <w:t xml:space="preserve"> une influence profonde et durable sur les femmes autour de lui. Le fait que plusieurs femmes aient son nom tatoué sur leur corps montre l'impact émotionnel et psychologique qu'il a sur elles. Mongo est décrit comme un "tigre," soulignant encore une fois son caractère puissant et prédateur.</w:t>
            </w:r>
          </w:p>
        </w:tc>
        <w:tc>
          <w:tcPr>
            <w:tcW w:w="1277" w:type="dxa"/>
            <w:tcBorders>
              <w:top w:val="single" w:sz="4" w:space="0" w:color="000000"/>
              <w:left w:val="single" w:sz="4" w:space="0" w:color="000000"/>
              <w:bottom w:val="single" w:sz="4" w:space="0" w:color="000000"/>
              <w:right w:val="single" w:sz="4" w:space="0" w:color="000000"/>
            </w:tcBorders>
          </w:tcPr>
          <w:p w14:paraId="788EE0FE" w14:textId="210D92F7" w:rsidR="00494F0F" w:rsidRDefault="00344196">
            <w:pPr>
              <w:widowControl w:val="0"/>
              <w:rPr>
                <w:rFonts w:ascii="Cambria" w:hAnsi="Cambria"/>
              </w:rPr>
            </w:pPr>
            <w:r>
              <w:rPr>
                <w:rFonts w:ascii="Cambria" w:hAnsi="Cambria"/>
              </w:rPr>
              <w:t>-</w:t>
            </w:r>
            <w:r w:rsidR="00293437">
              <w:rPr>
                <w:rFonts w:ascii="Cambria" w:hAnsi="Cambria"/>
              </w:rPr>
              <w:t>79</w:t>
            </w:r>
          </w:p>
          <w:p w14:paraId="1C5A7859" w14:textId="4690BB81" w:rsidR="00494F0F" w:rsidRDefault="00344196">
            <w:pPr>
              <w:widowControl w:val="0"/>
              <w:rPr>
                <w:rFonts w:ascii="Cambria" w:hAnsi="Cambria"/>
              </w:rPr>
            </w:pPr>
            <w:r>
              <w:rPr>
                <w:rFonts w:ascii="Cambria" w:hAnsi="Cambria"/>
              </w:rPr>
              <w:t>-</w:t>
            </w:r>
            <w:r w:rsidR="00293437">
              <w:rPr>
                <w:rFonts w:ascii="Cambria" w:hAnsi="Cambria"/>
              </w:rPr>
              <w:t>77</w:t>
            </w:r>
          </w:p>
        </w:tc>
      </w:tr>
      <w:tr w:rsidR="00494F0F" w14:paraId="267EFA57" w14:textId="77777777">
        <w:tc>
          <w:tcPr>
            <w:tcW w:w="1412" w:type="dxa"/>
            <w:tcBorders>
              <w:top w:val="single" w:sz="4" w:space="0" w:color="000000"/>
              <w:left w:val="single" w:sz="4" w:space="0" w:color="000000"/>
              <w:bottom w:val="single" w:sz="4" w:space="0" w:color="000000"/>
              <w:right w:val="single" w:sz="4" w:space="0" w:color="000000"/>
            </w:tcBorders>
          </w:tcPr>
          <w:p w14:paraId="65C85D2E" w14:textId="77777777" w:rsidR="00494F0F" w:rsidRDefault="00344196">
            <w:pPr>
              <w:widowControl w:val="0"/>
              <w:rPr>
                <w:rFonts w:ascii="Cambria" w:hAnsi="Cambria"/>
                <w:sz w:val="16"/>
              </w:rPr>
            </w:pPr>
            <w:proofErr w:type="gramStart"/>
            <w:r>
              <w:rPr>
                <w:rFonts w:ascii="Cambria" w:hAnsi="Cambria"/>
                <w:sz w:val="16"/>
              </w:rPr>
              <w:t>ghetto</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52ABA346" w14:textId="1690FC79"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montre que le ghetto est un lieu de danger et de mystère pour le narrateur. Il est averti de faire attention au ghetto, mais il ne sait pas encore comment naviguer dans cet espace complexe et potentiellement hostile.</w:t>
            </w:r>
          </w:p>
          <w:p w14:paraId="1DA38E0C" w14:textId="604A9A5C"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293437" w:rsidRPr="002730FC">
              <w:rPr>
                <w:rFonts w:asciiTheme="minorHAnsi" w:hAnsiTheme="minorHAnsi" w:cstheme="minorHAnsi"/>
                <w:sz w:val="16"/>
                <w:szCs w:val="16"/>
              </w:rPr>
              <w:t xml:space="preserve"> Ce passage met en lumière la perception et la stigmatisation des quartiers habités majoritairement par des Noirs. Le terme "ghetto" est utilisé de manière péjorative pour désigner des zones marginalisées et souvent associées à la pauvreté et à la criminalité.</w:t>
            </w:r>
          </w:p>
        </w:tc>
        <w:tc>
          <w:tcPr>
            <w:tcW w:w="1277" w:type="dxa"/>
            <w:tcBorders>
              <w:top w:val="single" w:sz="4" w:space="0" w:color="000000"/>
              <w:left w:val="single" w:sz="4" w:space="0" w:color="000000"/>
              <w:bottom w:val="single" w:sz="4" w:space="0" w:color="000000"/>
              <w:right w:val="single" w:sz="4" w:space="0" w:color="000000"/>
            </w:tcBorders>
          </w:tcPr>
          <w:p w14:paraId="268D1F21" w14:textId="71C5DEBA" w:rsidR="00494F0F" w:rsidRDefault="00344196">
            <w:pPr>
              <w:widowControl w:val="0"/>
              <w:rPr>
                <w:rFonts w:ascii="Cambria" w:hAnsi="Cambria"/>
              </w:rPr>
            </w:pPr>
            <w:r>
              <w:rPr>
                <w:rFonts w:ascii="Cambria" w:hAnsi="Cambria"/>
              </w:rPr>
              <w:t>-</w:t>
            </w:r>
            <w:r w:rsidR="00293437">
              <w:rPr>
                <w:rFonts w:ascii="Cambria" w:hAnsi="Cambria"/>
              </w:rPr>
              <w:t>22</w:t>
            </w:r>
          </w:p>
          <w:p w14:paraId="0EEFF462" w14:textId="4FD3655B" w:rsidR="00494F0F" w:rsidRDefault="00344196">
            <w:pPr>
              <w:widowControl w:val="0"/>
              <w:rPr>
                <w:rFonts w:ascii="Cambria" w:hAnsi="Cambria"/>
              </w:rPr>
            </w:pPr>
            <w:r>
              <w:rPr>
                <w:rFonts w:ascii="Cambria" w:hAnsi="Cambria"/>
              </w:rPr>
              <w:t>-</w:t>
            </w:r>
            <w:r w:rsidR="00293437">
              <w:rPr>
                <w:rFonts w:ascii="Cambria" w:hAnsi="Cambria"/>
              </w:rPr>
              <w:t>78</w:t>
            </w:r>
          </w:p>
        </w:tc>
      </w:tr>
      <w:tr w:rsidR="00494F0F" w14:paraId="08E3AF26" w14:textId="77777777">
        <w:tc>
          <w:tcPr>
            <w:tcW w:w="1412" w:type="dxa"/>
            <w:tcBorders>
              <w:top w:val="single" w:sz="4" w:space="0" w:color="000000"/>
              <w:left w:val="single" w:sz="4" w:space="0" w:color="000000"/>
              <w:bottom w:val="single" w:sz="4" w:space="0" w:color="000000"/>
              <w:right w:val="single" w:sz="4" w:space="0" w:color="000000"/>
            </w:tcBorders>
          </w:tcPr>
          <w:p w14:paraId="7056B1EC" w14:textId="77777777" w:rsidR="00494F0F" w:rsidRDefault="00344196">
            <w:pPr>
              <w:widowControl w:val="0"/>
              <w:rPr>
                <w:rFonts w:ascii="Cambria" w:hAnsi="Cambria"/>
                <w:sz w:val="16"/>
              </w:rPr>
            </w:pPr>
            <w:r>
              <w:rPr>
                <w:rFonts w:ascii="Cambria" w:hAnsi="Cambria"/>
                <w:sz w:val="16"/>
              </w:rPr>
              <w:t>Julie</w:t>
            </w:r>
          </w:p>
        </w:tc>
        <w:tc>
          <w:tcPr>
            <w:tcW w:w="6662" w:type="dxa"/>
            <w:tcBorders>
              <w:top w:val="single" w:sz="4" w:space="0" w:color="000000"/>
              <w:left w:val="single" w:sz="4" w:space="0" w:color="000000"/>
              <w:bottom w:val="single" w:sz="4" w:space="0" w:color="000000"/>
              <w:right w:val="single" w:sz="4" w:space="0" w:color="000000"/>
            </w:tcBorders>
          </w:tcPr>
          <w:p w14:paraId="48F48E2A" w14:textId="02781A06"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montre Julie comme une figure de confrontation et de questionnement. Elle demande au narrateur de justifier ses sentiments et ses actions, ce qui crée une tension émotionnelle.</w:t>
            </w:r>
          </w:p>
          <w:p w14:paraId="68FEBC98" w14:textId="43C492D3"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Dans ce passage, Julie est une source de contraste et de décalage pour le narrateur. Elle revient de l'opéra, un lieu de culture et de sophistication, et apporte avec elle des nouvelles d'un monde que le narrateur ne comprend pas pleinement.</w:t>
            </w:r>
          </w:p>
        </w:tc>
        <w:tc>
          <w:tcPr>
            <w:tcW w:w="1277" w:type="dxa"/>
            <w:tcBorders>
              <w:top w:val="single" w:sz="4" w:space="0" w:color="000000"/>
              <w:left w:val="single" w:sz="4" w:space="0" w:color="000000"/>
              <w:bottom w:val="single" w:sz="4" w:space="0" w:color="000000"/>
              <w:right w:val="single" w:sz="4" w:space="0" w:color="000000"/>
            </w:tcBorders>
          </w:tcPr>
          <w:p w14:paraId="0F95FD2C" w14:textId="78EC4B7E" w:rsidR="00494F0F" w:rsidRDefault="00344196">
            <w:pPr>
              <w:widowControl w:val="0"/>
              <w:rPr>
                <w:rFonts w:ascii="Cambria" w:hAnsi="Cambria"/>
              </w:rPr>
            </w:pPr>
            <w:r>
              <w:rPr>
                <w:rFonts w:ascii="Cambria" w:hAnsi="Cambria"/>
              </w:rPr>
              <w:t>-</w:t>
            </w:r>
            <w:r w:rsidR="00BE4430">
              <w:rPr>
                <w:rFonts w:ascii="Cambria" w:hAnsi="Cambria"/>
              </w:rPr>
              <w:t>124</w:t>
            </w:r>
          </w:p>
          <w:p w14:paraId="081E2E52" w14:textId="3B23F173" w:rsidR="00494F0F" w:rsidRDefault="00344196">
            <w:pPr>
              <w:widowControl w:val="0"/>
              <w:rPr>
                <w:rFonts w:ascii="Cambria" w:hAnsi="Cambria"/>
              </w:rPr>
            </w:pPr>
            <w:r>
              <w:rPr>
                <w:rFonts w:ascii="Cambria" w:hAnsi="Cambria"/>
              </w:rPr>
              <w:t>-</w:t>
            </w:r>
            <w:r w:rsidR="00BE4430">
              <w:rPr>
                <w:rFonts w:ascii="Cambria" w:hAnsi="Cambria"/>
              </w:rPr>
              <w:t>104</w:t>
            </w:r>
          </w:p>
        </w:tc>
      </w:tr>
      <w:tr w:rsidR="00494F0F" w14:paraId="6C958177" w14:textId="77777777">
        <w:tc>
          <w:tcPr>
            <w:tcW w:w="1412" w:type="dxa"/>
            <w:tcBorders>
              <w:top w:val="single" w:sz="4" w:space="0" w:color="000000"/>
              <w:left w:val="single" w:sz="4" w:space="0" w:color="000000"/>
              <w:bottom w:val="single" w:sz="4" w:space="0" w:color="000000"/>
              <w:right w:val="single" w:sz="4" w:space="0" w:color="000000"/>
            </w:tcBorders>
          </w:tcPr>
          <w:p w14:paraId="21C2F07D" w14:textId="77777777" w:rsidR="00494F0F" w:rsidRDefault="00344196">
            <w:pPr>
              <w:widowControl w:val="0"/>
              <w:rPr>
                <w:rFonts w:ascii="Cambria" w:hAnsi="Cambria"/>
                <w:sz w:val="16"/>
              </w:rPr>
            </w:pPr>
            <w:r>
              <w:rPr>
                <w:rFonts w:ascii="Cambria" w:hAnsi="Cambria"/>
                <w:sz w:val="16"/>
              </w:rPr>
              <w:t>Nathalie</w:t>
            </w:r>
          </w:p>
        </w:tc>
        <w:tc>
          <w:tcPr>
            <w:tcW w:w="6662" w:type="dxa"/>
            <w:tcBorders>
              <w:top w:val="single" w:sz="4" w:space="0" w:color="000000"/>
              <w:left w:val="single" w:sz="4" w:space="0" w:color="000000"/>
              <w:bottom w:val="single" w:sz="4" w:space="0" w:color="000000"/>
              <w:right w:val="single" w:sz="4" w:space="0" w:color="000000"/>
            </w:tcBorders>
          </w:tcPr>
          <w:p w14:paraId="4E90C147" w14:textId="4C94A9E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montre Nathalie comme une figure de force et de détermination. Elle est décrite comme quelqu'un qui marche avec une assurance et une intensité qui affectent ceux qu'elle croise.</w:t>
            </w:r>
          </w:p>
          <w:p w14:paraId="2253A0C7" w14:textId="38A059C1"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montre une autre facette de Nathalie, celle de la tendresse et du soin. Elle prend soin du narrateur lorsqu'il est malade, montrant une attention et une douceur qui contrastent avec son image publique. </w:t>
            </w:r>
          </w:p>
        </w:tc>
        <w:tc>
          <w:tcPr>
            <w:tcW w:w="1277" w:type="dxa"/>
            <w:tcBorders>
              <w:top w:val="single" w:sz="4" w:space="0" w:color="000000"/>
              <w:left w:val="single" w:sz="4" w:space="0" w:color="000000"/>
              <w:bottom w:val="single" w:sz="4" w:space="0" w:color="000000"/>
              <w:right w:val="single" w:sz="4" w:space="0" w:color="000000"/>
            </w:tcBorders>
          </w:tcPr>
          <w:p w14:paraId="7D4BBFEA" w14:textId="7F4958B8" w:rsidR="00494F0F" w:rsidRDefault="00344196">
            <w:pPr>
              <w:widowControl w:val="0"/>
              <w:rPr>
                <w:rFonts w:ascii="Cambria" w:hAnsi="Cambria"/>
              </w:rPr>
            </w:pPr>
            <w:r>
              <w:rPr>
                <w:rFonts w:ascii="Cambria" w:hAnsi="Cambria"/>
              </w:rPr>
              <w:t>-</w:t>
            </w:r>
            <w:r w:rsidR="00BE4430">
              <w:rPr>
                <w:rFonts w:ascii="Cambria" w:hAnsi="Cambria"/>
              </w:rPr>
              <w:t>111</w:t>
            </w:r>
          </w:p>
          <w:p w14:paraId="5E0E7B1A" w14:textId="0469DFF1" w:rsidR="00494F0F" w:rsidRDefault="00344196">
            <w:pPr>
              <w:widowControl w:val="0"/>
              <w:rPr>
                <w:rFonts w:ascii="Cambria" w:hAnsi="Cambria"/>
              </w:rPr>
            </w:pPr>
            <w:r>
              <w:rPr>
                <w:rFonts w:ascii="Cambria" w:hAnsi="Cambria"/>
              </w:rPr>
              <w:t>-</w:t>
            </w:r>
            <w:r w:rsidR="00BE4430">
              <w:rPr>
                <w:rFonts w:ascii="Cambria" w:hAnsi="Cambria"/>
              </w:rPr>
              <w:t>131</w:t>
            </w:r>
          </w:p>
        </w:tc>
      </w:tr>
      <w:tr w:rsidR="00494F0F" w14:paraId="49F4F3A7" w14:textId="77777777">
        <w:tc>
          <w:tcPr>
            <w:tcW w:w="1412" w:type="dxa"/>
            <w:tcBorders>
              <w:top w:val="single" w:sz="4" w:space="0" w:color="000000"/>
              <w:left w:val="single" w:sz="4" w:space="0" w:color="000000"/>
              <w:bottom w:val="single" w:sz="4" w:space="0" w:color="000000"/>
              <w:right w:val="single" w:sz="4" w:space="0" w:color="000000"/>
            </w:tcBorders>
          </w:tcPr>
          <w:p w14:paraId="3E949716" w14:textId="77777777" w:rsidR="00494F0F" w:rsidRDefault="00344196">
            <w:pPr>
              <w:widowControl w:val="0"/>
              <w:rPr>
                <w:rFonts w:ascii="Cambria" w:hAnsi="Cambria"/>
                <w:sz w:val="16"/>
              </w:rPr>
            </w:pPr>
            <w:proofErr w:type="gramStart"/>
            <w:r>
              <w:rPr>
                <w:rFonts w:ascii="Cambria" w:hAnsi="Cambria"/>
                <w:sz w:val="16"/>
              </w:rPr>
              <w:t>machine</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6574ED59" w14:textId="252927C6"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montre que les machines sont un symbole de la monotonie et de l'aliénation dans le lieu de travail. Les hommes sont décrits comme silencieux et penchés sur les machines, ce qui souligne la déshumanisation et la perte d'individualité.</w:t>
            </w:r>
          </w:p>
          <w:p w14:paraId="51C25EAD" w14:textId="537721C3"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met en lumière les dangers et les négligences associés aux machines dans le lieu de travail. La machine défectueuse qui a causé un accident grave n'est pas remplacée, ce qui montre le manque de considération de la direction pour la sécurité des travailleurs.</w:t>
            </w:r>
          </w:p>
        </w:tc>
        <w:tc>
          <w:tcPr>
            <w:tcW w:w="1277" w:type="dxa"/>
            <w:tcBorders>
              <w:top w:val="single" w:sz="4" w:space="0" w:color="000000"/>
              <w:left w:val="single" w:sz="4" w:space="0" w:color="000000"/>
              <w:bottom w:val="single" w:sz="4" w:space="0" w:color="000000"/>
              <w:right w:val="single" w:sz="4" w:space="0" w:color="000000"/>
            </w:tcBorders>
          </w:tcPr>
          <w:p w14:paraId="28B6E98B" w14:textId="64797070" w:rsidR="00494F0F" w:rsidRDefault="00344196">
            <w:pPr>
              <w:widowControl w:val="0"/>
              <w:rPr>
                <w:rFonts w:ascii="Cambria" w:hAnsi="Cambria"/>
              </w:rPr>
            </w:pPr>
            <w:r>
              <w:rPr>
                <w:rFonts w:ascii="Cambria" w:hAnsi="Cambria"/>
              </w:rPr>
              <w:t>-</w:t>
            </w:r>
            <w:r w:rsidR="00BE4430">
              <w:rPr>
                <w:rFonts w:ascii="Cambria" w:hAnsi="Cambria"/>
              </w:rPr>
              <w:t>105</w:t>
            </w:r>
          </w:p>
          <w:p w14:paraId="0C2A330B" w14:textId="6CF77AF7" w:rsidR="00494F0F" w:rsidRDefault="00344196">
            <w:pPr>
              <w:widowControl w:val="0"/>
              <w:rPr>
                <w:rFonts w:ascii="Cambria" w:hAnsi="Cambria"/>
              </w:rPr>
            </w:pPr>
            <w:r>
              <w:rPr>
                <w:rFonts w:ascii="Cambria" w:hAnsi="Cambria"/>
              </w:rPr>
              <w:t>-</w:t>
            </w:r>
            <w:r w:rsidR="00BE4430">
              <w:rPr>
                <w:rFonts w:ascii="Cambria" w:hAnsi="Cambria"/>
              </w:rPr>
              <w:t>99</w:t>
            </w:r>
          </w:p>
        </w:tc>
      </w:tr>
      <w:tr w:rsidR="00494F0F" w14:paraId="7ABC6B9A" w14:textId="77777777">
        <w:tc>
          <w:tcPr>
            <w:tcW w:w="1412" w:type="dxa"/>
            <w:tcBorders>
              <w:top w:val="single" w:sz="4" w:space="0" w:color="000000"/>
              <w:left w:val="single" w:sz="4" w:space="0" w:color="000000"/>
              <w:bottom w:val="single" w:sz="4" w:space="0" w:color="000000"/>
              <w:right w:val="single" w:sz="4" w:space="0" w:color="000000"/>
            </w:tcBorders>
          </w:tcPr>
          <w:p w14:paraId="55343285" w14:textId="77777777" w:rsidR="00494F0F" w:rsidRDefault="00344196">
            <w:pPr>
              <w:widowControl w:val="0"/>
              <w:rPr>
                <w:rFonts w:ascii="Cambria" w:hAnsi="Cambria"/>
                <w:sz w:val="16"/>
              </w:rPr>
            </w:pPr>
            <w:r>
              <w:rPr>
                <w:rFonts w:ascii="Cambria" w:hAnsi="Cambria"/>
                <w:sz w:val="16"/>
              </w:rPr>
              <w:t>Indien</w:t>
            </w:r>
          </w:p>
        </w:tc>
        <w:tc>
          <w:tcPr>
            <w:tcW w:w="6662" w:type="dxa"/>
            <w:tcBorders>
              <w:top w:val="single" w:sz="4" w:space="0" w:color="000000"/>
              <w:left w:val="single" w:sz="4" w:space="0" w:color="000000"/>
              <w:bottom w:val="single" w:sz="4" w:space="0" w:color="000000"/>
              <w:right w:val="single" w:sz="4" w:space="0" w:color="000000"/>
            </w:tcBorders>
          </w:tcPr>
          <w:p w14:paraId="4E8304E3" w14:textId="47BC8A26"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montre l'Indien comme un personnage charismatique et mystérieux, qui suscite à la fois l'admiration et la peur. La discussion sur les clichés respectifs met en lumière les stéréotypes auxquels ils sont confrontés, mais aussi leur capacité à les transcender.</w:t>
            </w:r>
          </w:p>
          <w:p w14:paraId="135F59E0" w14:textId="4BAE0B8F"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met en lumière une autre facette de l'Indien, celle de la colère et de la violence potentielle. La mention de la forêt semble être un déclencheur émotionnel pour lui, suggérant un passé douloureux ou des souvenirs traumatisants.</w:t>
            </w:r>
          </w:p>
        </w:tc>
        <w:tc>
          <w:tcPr>
            <w:tcW w:w="1277" w:type="dxa"/>
            <w:tcBorders>
              <w:top w:val="single" w:sz="4" w:space="0" w:color="000000"/>
              <w:left w:val="single" w:sz="4" w:space="0" w:color="000000"/>
              <w:bottom w:val="single" w:sz="4" w:space="0" w:color="000000"/>
              <w:right w:val="single" w:sz="4" w:space="0" w:color="000000"/>
            </w:tcBorders>
          </w:tcPr>
          <w:p w14:paraId="4C079EF2" w14:textId="4017731A" w:rsidR="00494F0F" w:rsidRDefault="00344196">
            <w:pPr>
              <w:widowControl w:val="0"/>
              <w:rPr>
                <w:rFonts w:ascii="Cambria" w:hAnsi="Cambria"/>
              </w:rPr>
            </w:pPr>
            <w:r>
              <w:rPr>
                <w:rFonts w:ascii="Cambria" w:hAnsi="Cambria"/>
              </w:rPr>
              <w:t>-</w:t>
            </w:r>
            <w:r w:rsidR="00BE4430">
              <w:rPr>
                <w:rFonts w:ascii="Cambria" w:hAnsi="Cambria"/>
              </w:rPr>
              <w:t>119-120</w:t>
            </w:r>
          </w:p>
          <w:p w14:paraId="5B698912" w14:textId="7A87E611" w:rsidR="00494F0F" w:rsidRDefault="00344196">
            <w:pPr>
              <w:widowControl w:val="0"/>
              <w:rPr>
                <w:rFonts w:ascii="Cambria" w:hAnsi="Cambria"/>
              </w:rPr>
            </w:pPr>
            <w:r>
              <w:rPr>
                <w:rFonts w:ascii="Cambria" w:hAnsi="Cambria"/>
              </w:rPr>
              <w:t>-</w:t>
            </w:r>
            <w:r w:rsidR="00BE4430">
              <w:rPr>
                <w:rFonts w:ascii="Cambria" w:hAnsi="Cambria"/>
              </w:rPr>
              <w:t>120</w:t>
            </w:r>
          </w:p>
        </w:tc>
      </w:tr>
      <w:tr w:rsidR="00494F0F" w14:paraId="041C60A7" w14:textId="77777777">
        <w:tc>
          <w:tcPr>
            <w:tcW w:w="1412" w:type="dxa"/>
            <w:tcBorders>
              <w:top w:val="single" w:sz="4" w:space="0" w:color="000000"/>
              <w:left w:val="single" w:sz="4" w:space="0" w:color="000000"/>
              <w:bottom w:val="single" w:sz="4" w:space="0" w:color="000000"/>
              <w:right w:val="single" w:sz="4" w:space="0" w:color="000000"/>
            </w:tcBorders>
          </w:tcPr>
          <w:p w14:paraId="2978DAA6" w14:textId="77777777" w:rsidR="00494F0F" w:rsidRDefault="00344196">
            <w:pPr>
              <w:widowControl w:val="0"/>
              <w:rPr>
                <w:rFonts w:ascii="Cambria" w:hAnsi="Cambria"/>
                <w:sz w:val="16"/>
              </w:rPr>
            </w:pPr>
            <w:proofErr w:type="gramStart"/>
            <w:r>
              <w:rPr>
                <w:rFonts w:ascii="Cambria" w:hAnsi="Cambria"/>
                <w:sz w:val="16"/>
              </w:rPr>
              <w:t>délateur</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1C68D4C5" w14:textId="10D60506"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montre l'importance du rôle de "délateur" dans le contexte de survie et de justice. Le personnage accepte de devenir un délateur en témoignant contre son boss, ce qui lui permet de réduire sa peine et d'obtenir une nouvelle identité.</w:t>
            </w:r>
          </w:p>
          <w:p w14:paraId="7CB74176" w14:textId="569F1DB9"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Ce passage montre le rôle de délateur de manière péjoratif </w:t>
            </w:r>
            <w:proofErr w:type="gramStart"/>
            <w:r w:rsidR="00BE4430" w:rsidRPr="002730FC">
              <w:rPr>
                <w:rFonts w:asciiTheme="minorHAnsi" w:hAnsiTheme="minorHAnsi" w:cstheme="minorHAnsi"/>
                <w:sz w:val="16"/>
                <w:szCs w:val="16"/>
              </w:rPr>
              <w:t>qui est pas</w:t>
            </w:r>
            <w:proofErr w:type="gramEnd"/>
            <w:r w:rsidR="00BE4430" w:rsidRPr="002730FC">
              <w:rPr>
                <w:rFonts w:asciiTheme="minorHAnsi" w:hAnsiTheme="minorHAnsi" w:cstheme="minorHAnsi"/>
                <w:sz w:val="16"/>
                <w:szCs w:val="16"/>
              </w:rPr>
              <w:t xml:space="preserve"> aimer par les gens</w:t>
            </w:r>
          </w:p>
        </w:tc>
        <w:tc>
          <w:tcPr>
            <w:tcW w:w="1277" w:type="dxa"/>
            <w:tcBorders>
              <w:top w:val="single" w:sz="4" w:space="0" w:color="000000"/>
              <w:left w:val="single" w:sz="4" w:space="0" w:color="000000"/>
              <w:bottom w:val="single" w:sz="4" w:space="0" w:color="000000"/>
              <w:right w:val="single" w:sz="4" w:space="0" w:color="000000"/>
            </w:tcBorders>
          </w:tcPr>
          <w:p w14:paraId="1D57390A" w14:textId="5DEF1132" w:rsidR="00494F0F" w:rsidRDefault="00344196">
            <w:pPr>
              <w:widowControl w:val="0"/>
              <w:rPr>
                <w:rFonts w:ascii="Cambria" w:hAnsi="Cambria"/>
              </w:rPr>
            </w:pPr>
            <w:r>
              <w:rPr>
                <w:rFonts w:ascii="Cambria" w:hAnsi="Cambria"/>
              </w:rPr>
              <w:t>-</w:t>
            </w:r>
            <w:r w:rsidR="00BE4430">
              <w:rPr>
                <w:rFonts w:ascii="Cambria" w:hAnsi="Cambria"/>
              </w:rPr>
              <w:t>83</w:t>
            </w:r>
          </w:p>
          <w:p w14:paraId="36340123" w14:textId="6B619FDA" w:rsidR="00494F0F" w:rsidRDefault="00344196">
            <w:pPr>
              <w:widowControl w:val="0"/>
              <w:rPr>
                <w:rFonts w:ascii="Cambria" w:hAnsi="Cambria"/>
              </w:rPr>
            </w:pPr>
            <w:r>
              <w:rPr>
                <w:rFonts w:ascii="Cambria" w:hAnsi="Cambria"/>
              </w:rPr>
              <w:t>-</w:t>
            </w:r>
            <w:r w:rsidR="00BE4430">
              <w:rPr>
                <w:rFonts w:ascii="Cambria" w:hAnsi="Cambria"/>
              </w:rPr>
              <w:t>26</w:t>
            </w:r>
          </w:p>
        </w:tc>
      </w:tr>
      <w:tr w:rsidR="00494F0F" w14:paraId="49467818" w14:textId="77777777">
        <w:tc>
          <w:tcPr>
            <w:tcW w:w="1412" w:type="dxa"/>
            <w:tcBorders>
              <w:top w:val="single" w:sz="4" w:space="0" w:color="000000"/>
              <w:left w:val="single" w:sz="4" w:space="0" w:color="000000"/>
              <w:bottom w:val="single" w:sz="4" w:space="0" w:color="000000"/>
              <w:right w:val="single" w:sz="4" w:space="0" w:color="000000"/>
            </w:tcBorders>
          </w:tcPr>
          <w:p w14:paraId="4FB49E57" w14:textId="77777777" w:rsidR="00494F0F" w:rsidRDefault="00344196">
            <w:pPr>
              <w:widowControl w:val="0"/>
              <w:rPr>
                <w:rFonts w:ascii="Cambria" w:hAnsi="Cambria"/>
                <w:sz w:val="16"/>
              </w:rPr>
            </w:pPr>
            <w:proofErr w:type="gramStart"/>
            <w:r>
              <w:rPr>
                <w:rFonts w:ascii="Cambria" w:hAnsi="Cambria"/>
                <w:sz w:val="16"/>
              </w:rPr>
              <w:lastRenderedPageBreak/>
              <w:t>castors</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639A3D45" w14:textId="77777777" w:rsidR="00BE4430"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BE4430" w:rsidRPr="002730FC">
              <w:rPr>
                <w:rFonts w:asciiTheme="minorHAnsi" w:hAnsiTheme="minorHAnsi" w:cstheme="minorHAnsi"/>
                <w:sz w:val="16"/>
                <w:szCs w:val="16"/>
              </w:rPr>
              <w:t xml:space="preserve"> Ce passage montre le documentaire sur les castors qui met en avant leur fidélité extrême, où la femelle choisit de ne pas procréer si le mâle est stérile. Cette fidélité peut être vue comme un contraste ou un miroir des relations humaines, en particulier celle entre le narrateur et Julie. </w:t>
            </w:r>
          </w:p>
          <w:p w14:paraId="1A710ECE" w14:textId="4AF03C65"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1522C" w:rsidRPr="002730FC">
              <w:rPr>
                <w:rFonts w:asciiTheme="minorHAnsi" w:hAnsiTheme="minorHAnsi" w:cstheme="minorHAnsi"/>
                <w:sz w:val="16"/>
                <w:szCs w:val="16"/>
              </w:rPr>
              <w:t>Ce passage montre un moment de calme entre Julie et le narrateur lors de l’</w:t>
            </w:r>
            <w:proofErr w:type="spellStart"/>
            <w:r w:rsidR="00E1522C" w:rsidRPr="002730FC">
              <w:rPr>
                <w:rFonts w:asciiTheme="minorHAnsi" w:hAnsiTheme="minorHAnsi" w:cstheme="minorHAnsi"/>
                <w:sz w:val="16"/>
                <w:szCs w:val="16"/>
              </w:rPr>
              <w:t>ecoute</w:t>
            </w:r>
            <w:proofErr w:type="spellEnd"/>
            <w:r w:rsidR="00E1522C" w:rsidRPr="002730FC">
              <w:rPr>
                <w:rFonts w:asciiTheme="minorHAnsi" w:hAnsiTheme="minorHAnsi" w:cstheme="minorHAnsi"/>
                <w:sz w:val="16"/>
                <w:szCs w:val="16"/>
              </w:rPr>
              <w:t xml:space="preserve"> d’un documentaire de castor</w:t>
            </w:r>
          </w:p>
        </w:tc>
        <w:tc>
          <w:tcPr>
            <w:tcW w:w="1277" w:type="dxa"/>
            <w:tcBorders>
              <w:top w:val="single" w:sz="4" w:space="0" w:color="000000"/>
              <w:left w:val="single" w:sz="4" w:space="0" w:color="000000"/>
              <w:bottom w:val="single" w:sz="4" w:space="0" w:color="000000"/>
              <w:right w:val="single" w:sz="4" w:space="0" w:color="000000"/>
            </w:tcBorders>
          </w:tcPr>
          <w:p w14:paraId="7E51B1AD" w14:textId="04496D91" w:rsidR="00494F0F" w:rsidRDefault="00344196">
            <w:pPr>
              <w:widowControl w:val="0"/>
              <w:rPr>
                <w:rFonts w:ascii="Cambria" w:hAnsi="Cambria"/>
              </w:rPr>
            </w:pPr>
            <w:r>
              <w:rPr>
                <w:rFonts w:ascii="Cambria" w:hAnsi="Cambria"/>
              </w:rPr>
              <w:t>-</w:t>
            </w:r>
            <w:r w:rsidR="00E1522C">
              <w:rPr>
                <w:rFonts w:ascii="Cambria" w:hAnsi="Cambria"/>
              </w:rPr>
              <w:t>124</w:t>
            </w:r>
          </w:p>
          <w:p w14:paraId="1F1A2692" w14:textId="4964E0C1" w:rsidR="00494F0F" w:rsidRDefault="00344196">
            <w:pPr>
              <w:widowControl w:val="0"/>
              <w:rPr>
                <w:rFonts w:ascii="Cambria" w:hAnsi="Cambria"/>
              </w:rPr>
            </w:pPr>
            <w:r>
              <w:rPr>
                <w:rFonts w:ascii="Cambria" w:hAnsi="Cambria"/>
              </w:rPr>
              <w:t>-</w:t>
            </w:r>
            <w:r w:rsidR="00E1522C">
              <w:rPr>
                <w:rFonts w:ascii="Cambria" w:hAnsi="Cambria"/>
              </w:rPr>
              <w:t>124</w:t>
            </w:r>
          </w:p>
        </w:tc>
      </w:tr>
      <w:tr w:rsidR="00494F0F" w14:paraId="59AA139E" w14:textId="77777777">
        <w:tc>
          <w:tcPr>
            <w:tcW w:w="1412" w:type="dxa"/>
            <w:tcBorders>
              <w:top w:val="single" w:sz="4" w:space="0" w:color="000000"/>
              <w:left w:val="single" w:sz="4" w:space="0" w:color="000000"/>
              <w:bottom w:val="single" w:sz="4" w:space="0" w:color="000000"/>
              <w:right w:val="single" w:sz="4" w:space="0" w:color="000000"/>
            </w:tcBorders>
          </w:tcPr>
          <w:p w14:paraId="2F7A0E61" w14:textId="77777777" w:rsidR="00494F0F" w:rsidRDefault="00344196">
            <w:pPr>
              <w:widowControl w:val="0"/>
              <w:rPr>
                <w:rFonts w:ascii="Cambria" w:hAnsi="Cambria"/>
                <w:sz w:val="16"/>
              </w:rPr>
            </w:pPr>
            <w:proofErr w:type="gramStart"/>
            <w:r>
              <w:rPr>
                <w:rFonts w:ascii="Cambria" w:hAnsi="Cambria"/>
                <w:sz w:val="16"/>
              </w:rPr>
              <w:t>souris</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78867B06" w14:textId="0399CB23"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w:t>
            </w:r>
            <w:r w:rsidR="00A309D1">
              <w:rPr>
                <w:rFonts w:asciiTheme="minorHAnsi" w:hAnsiTheme="minorHAnsi" w:cstheme="minorHAnsi"/>
                <w:sz w:val="16"/>
                <w:szCs w:val="16"/>
              </w:rPr>
              <w:t>Ce passage montre l</w:t>
            </w:r>
            <w:r w:rsidR="00E4480F" w:rsidRPr="002730FC">
              <w:rPr>
                <w:rFonts w:asciiTheme="minorHAnsi" w:hAnsiTheme="minorHAnsi" w:cstheme="minorHAnsi"/>
                <w:sz w:val="16"/>
                <w:szCs w:val="16"/>
              </w:rPr>
              <w:t>a souris représente une forme de compagnie pour le narrateur, qui semble vivre une vie assez isolée.</w:t>
            </w:r>
          </w:p>
          <w:p w14:paraId="5A2A8293" w14:textId="0128F6DA"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w:t>
            </w:r>
            <w:r w:rsidR="00A309D1">
              <w:rPr>
                <w:rFonts w:asciiTheme="minorHAnsi" w:hAnsiTheme="minorHAnsi" w:cstheme="minorHAnsi"/>
                <w:sz w:val="16"/>
                <w:szCs w:val="16"/>
              </w:rPr>
              <w:t>Ce passage montre l</w:t>
            </w:r>
            <w:r w:rsidR="00E4480F" w:rsidRPr="002730FC">
              <w:rPr>
                <w:rFonts w:asciiTheme="minorHAnsi" w:hAnsiTheme="minorHAnsi" w:cstheme="minorHAnsi"/>
                <w:sz w:val="16"/>
                <w:szCs w:val="16"/>
              </w:rPr>
              <w:t>a mort de la souris marque une perte pour le narrateur, soulignant le thème de la mortalité. La souris, qui était une "complice des mauvais jours", n'est plus là pour lui tenir compagnie, accentuant son sentiment de solitude.</w:t>
            </w:r>
          </w:p>
        </w:tc>
        <w:tc>
          <w:tcPr>
            <w:tcW w:w="1277" w:type="dxa"/>
            <w:tcBorders>
              <w:top w:val="single" w:sz="4" w:space="0" w:color="000000"/>
              <w:left w:val="single" w:sz="4" w:space="0" w:color="000000"/>
              <w:bottom w:val="single" w:sz="4" w:space="0" w:color="000000"/>
              <w:right w:val="single" w:sz="4" w:space="0" w:color="000000"/>
            </w:tcBorders>
          </w:tcPr>
          <w:p w14:paraId="2BE022BC" w14:textId="4322A441" w:rsidR="00494F0F" w:rsidRDefault="00344196">
            <w:pPr>
              <w:widowControl w:val="0"/>
              <w:rPr>
                <w:rFonts w:ascii="Cambria" w:hAnsi="Cambria"/>
              </w:rPr>
            </w:pPr>
            <w:r>
              <w:rPr>
                <w:rFonts w:ascii="Cambria" w:hAnsi="Cambria"/>
              </w:rPr>
              <w:t>-</w:t>
            </w:r>
            <w:r w:rsidR="00E4480F">
              <w:rPr>
                <w:rFonts w:ascii="Cambria" w:hAnsi="Cambria"/>
              </w:rPr>
              <w:t>119</w:t>
            </w:r>
          </w:p>
          <w:p w14:paraId="50A15E43" w14:textId="159630AD" w:rsidR="00494F0F" w:rsidRDefault="00344196">
            <w:pPr>
              <w:widowControl w:val="0"/>
              <w:rPr>
                <w:rFonts w:ascii="Cambria" w:hAnsi="Cambria"/>
              </w:rPr>
            </w:pPr>
            <w:r>
              <w:rPr>
                <w:rFonts w:ascii="Cambria" w:hAnsi="Cambria"/>
              </w:rPr>
              <w:t>-</w:t>
            </w:r>
            <w:r w:rsidR="00E4480F">
              <w:rPr>
                <w:rFonts w:ascii="Cambria" w:hAnsi="Cambria"/>
              </w:rPr>
              <w:t>190</w:t>
            </w:r>
          </w:p>
        </w:tc>
      </w:tr>
      <w:tr w:rsidR="00494F0F" w14:paraId="1F1C4A68" w14:textId="77777777">
        <w:tc>
          <w:tcPr>
            <w:tcW w:w="1412" w:type="dxa"/>
            <w:tcBorders>
              <w:top w:val="single" w:sz="4" w:space="0" w:color="000000"/>
              <w:left w:val="single" w:sz="4" w:space="0" w:color="000000"/>
              <w:bottom w:val="single" w:sz="4" w:space="0" w:color="000000"/>
              <w:right w:val="single" w:sz="4" w:space="0" w:color="000000"/>
            </w:tcBorders>
          </w:tcPr>
          <w:p w14:paraId="6CBF8816" w14:textId="77777777" w:rsidR="00494F0F" w:rsidRDefault="00344196">
            <w:pPr>
              <w:widowControl w:val="0"/>
              <w:rPr>
                <w:rFonts w:ascii="Cambria" w:hAnsi="Cambria"/>
                <w:sz w:val="16"/>
              </w:rPr>
            </w:pPr>
            <w:proofErr w:type="gramStart"/>
            <w:r>
              <w:rPr>
                <w:rFonts w:ascii="Cambria" w:hAnsi="Cambria"/>
                <w:sz w:val="16"/>
              </w:rPr>
              <w:t>tempête</w:t>
            </w:r>
            <w:proofErr w:type="gramEnd"/>
            <w:r>
              <w:rPr>
                <w:rFonts w:ascii="Cambria" w:hAnsi="Cambria"/>
                <w:sz w:val="16"/>
              </w:rPr>
              <w:t xml:space="preserve"> de neige</w:t>
            </w:r>
          </w:p>
        </w:tc>
        <w:tc>
          <w:tcPr>
            <w:tcW w:w="6662" w:type="dxa"/>
            <w:tcBorders>
              <w:top w:val="single" w:sz="4" w:space="0" w:color="000000"/>
              <w:left w:val="single" w:sz="4" w:space="0" w:color="000000"/>
              <w:bottom w:val="single" w:sz="4" w:space="0" w:color="000000"/>
              <w:right w:val="single" w:sz="4" w:space="0" w:color="000000"/>
            </w:tcBorders>
          </w:tcPr>
          <w:p w14:paraId="0AD49F38" w14:textId="10694AB2"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Ce passage met en lumière la fascination et l'excitation que suscite la première tempête de neige de l'année. Pour les habitants, c'est un événement récurrent mais toujours marquant, symbolisant le début de l'hiver.</w:t>
            </w:r>
          </w:p>
          <w:p w14:paraId="19ECD820" w14:textId="46C235BD"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Ce passage est crucial car il met en évidence le choc culturel et climatique que vit le narrateur. La tempête de neige devient un symbole de son adaptation à un nouvel environnement, à la fois géographique et social.</w:t>
            </w:r>
          </w:p>
        </w:tc>
        <w:tc>
          <w:tcPr>
            <w:tcW w:w="1277" w:type="dxa"/>
            <w:tcBorders>
              <w:top w:val="single" w:sz="4" w:space="0" w:color="000000"/>
              <w:left w:val="single" w:sz="4" w:space="0" w:color="000000"/>
              <w:bottom w:val="single" w:sz="4" w:space="0" w:color="000000"/>
              <w:right w:val="single" w:sz="4" w:space="0" w:color="000000"/>
            </w:tcBorders>
          </w:tcPr>
          <w:p w14:paraId="2E2C009E" w14:textId="06B6FF15" w:rsidR="00494F0F" w:rsidRDefault="00344196">
            <w:pPr>
              <w:widowControl w:val="0"/>
              <w:rPr>
                <w:rFonts w:ascii="Cambria" w:hAnsi="Cambria"/>
              </w:rPr>
            </w:pPr>
            <w:r>
              <w:rPr>
                <w:rFonts w:ascii="Cambria" w:hAnsi="Cambria"/>
              </w:rPr>
              <w:t>-</w:t>
            </w:r>
            <w:r w:rsidR="00E4480F">
              <w:rPr>
                <w:rFonts w:ascii="Cambria" w:hAnsi="Cambria"/>
              </w:rPr>
              <w:t>180</w:t>
            </w:r>
          </w:p>
          <w:p w14:paraId="692081B1" w14:textId="2FE23BC2" w:rsidR="00494F0F" w:rsidRDefault="00344196">
            <w:pPr>
              <w:widowControl w:val="0"/>
              <w:rPr>
                <w:rFonts w:ascii="Cambria" w:hAnsi="Cambria"/>
              </w:rPr>
            </w:pPr>
            <w:r>
              <w:rPr>
                <w:rFonts w:ascii="Cambria" w:hAnsi="Cambria"/>
              </w:rPr>
              <w:t>-</w:t>
            </w:r>
            <w:r w:rsidR="00E4480F">
              <w:rPr>
                <w:rFonts w:ascii="Cambria" w:hAnsi="Cambria"/>
              </w:rPr>
              <w:t>146</w:t>
            </w:r>
          </w:p>
        </w:tc>
      </w:tr>
      <w:tr w:rsidR="00494F0F" w14:paraId="344F1C1A" w14:textId="77777777">
        <w:tc>
          <w:tcPr>
            <w:tcW w:w="1412" w:type="dxa"/>
            <w:tcBorders>
              <w:top w:val="single" w:sz="4" w:space="0" w:color="000000"/>
              <w:left w:val="single" w:sz="4" w:space="0" w:color="000000"/>
              <w:bottom w:val="single" w:sz="4" w:space="0" w:color="000000"/>
              <w:right w:val="single" w:sz="4" w:space="0" w:color="000000"/>
            </w:tcBorders>
          </w:tcPr>
          <w:p w14:paraId="1B5F28DD" w14:textId="77777777" w:rsidR="00494F0F" w:rsidRDefault="00344196">
            <w:pPr>
              <w:widowControl w:val="0"/>
              <w:rPr>
                <w:rFonts w:ascii="Cambria" w:hAnsi="Cambria"/>
                <w:sz w:val="16"/>
              </w:rPr>
            </w:pPr>
            <w:proofErr w:type="gramStart"/>
            <w:r>
              <w:rPr>
                <w:rFonts w:ascii="Cambria" w:hAnsi="Cambria"/>
                <w:sz w:val="16"/>
              </w:rPr>
              <w:t>secrétaire</w:t>
            </w:r>
            <w:proofErr w:type="gramEnd"/>
            <w:r>
              <w:rPr>
                <w:rFonts w:ascii="Cambria" w:hAnsi="Cambria"/>
                <w:sz w:val="16"/>
              </w:rPr>
              <w:t xml:space="preserve"> du boss</w:t>
            </w:r>
          </w:p>
        </w:tc>
        <w:tc>
          <w:tcPr>
            <w:tcW w:w="6662" w:type="dxa"/>
            <w:tcBorders>
              <w:top w:val="single" w:sz="4" w:space="0" w:color="000000"/>
              <w:left w:val="single" w:sz="4" w:space="0" w:color="000000"/>
              <w:bottom w:val="single" w:sz="4" w:space="0" w:color="000000"/>
              <w:right w:val="single" w:sz="4" w:space="0" w:color="000000"/>
            </w:tcBorders>
          </w:tcPr>
          <w:p w14:paraId="2CAF58CA" w14:textId="67F999D1"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Ce passage est important car il met en lumière la dynamique de pouvoir et de harcèlement au sein de l'entreprise. La secrétaire du boss, en gardant la tête baissée et en rougissant, montre son inconfort et son impuissance face aux remarques racistes et sexistes de ses supérieurs. </w:t>
            </w:r>
          </w:p>
          <w:p w14:paraId="5DEE0131" w14:textId="1F504F7C"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Ce passage révèle une dimension plus personnelle et intime de la relation entre le narrateur et la secrétaire du boss. En dehors du cadre professionnel, ils partagent un moment de complicité et d'intimité, ce qui contraste avec la froideur et la distance de leur interaction au travail.</w:t>
            </w:r>
          </w:p>
        </w:tc>
        <w:tc>
          <w:tcPr>
            <w:tcW w:w="1277" w:type="dxa"/>
            <w:tcBorders>
              <w:top w:val="single" w:sz="4" w:space="0" w:color="000000"/>
              <w:left w:val="single" w:sz="4" w:space="0" w:color="000000"/>
              <w:bottom w:val="single" w:sz="4" w:space="0" w:color="000000"/>
              <w:right w:val="single" w:sz="4" w:space="0" w:color="000000"/>
            </w:tcBorders>
          </w:tcPr>
          <w:p w14:paraId="0EB09D67" w14:textId="3309D506" w:rsidR="00494F0F" w:rsidRDefault="00344196">
            <w:pPr>
              <w:widowControl w:val="0"/>
              <w:rPr>
                <w:rFonts w:ascii="Cambria" w:hAnsi="Cambria"/>
              </w:rPr>
            </w:pPr>
            <w:r>
              <w:rPr>
                <w:rFonts w:ascii="Cambria" w:hAnsi="Cambria"/>
              </w:rPr>
              <w:t>-</w:t>
            </w:r>
            <w:r w:rsidR="00E4480F">
              <w:rPr>
                <w:rFonts w:ascii="Cambria" w:hAnsi="Cambria"/>
              </w:rPr>
              <w:t>123</w:t>
            </w:r>
          </w:p>
          <w:p w14:paraId="289341C6" w14:textId="6F00BF36" w:rsidR="00494F0F" w:rsidRDefault="00344196">
            <w:pPr>
              <w:widowControl w:val="0"/>
              <w:rPr>
                <w:rFonts w:ascii="Cambria" w:hAnsi="Cambria"/>
              </w:rPr>
            </w:pPr>
            <w:r>
              <w:rPr>
                <w:rFonts w:ascii="Cambria" w:hAnsi="Cambria"/>
              </w:rPr>
              <w:t>-</w:t>
            </w:r>
            <w:r w:rsidR="00E4480F">
              <w:rPr>
                <w:rFonts w:ascii="Cambria" w:hAnsi="Cambria"/>
              </w:rPr>
              <w:t>161</w:t>
            </w:r>
          </w:p>
        </w:tc>
      </w:tr>
      <w:tr w:rsidR="00494F0F" w14:paraId="55F56F7A" w14:textId="77777777">
        <w:tc>
          <w:tcPr>
            <w:tcW w:w="1412" w:type="dxa"/>
            <w:tcBorders>
              <w:top w:val="single" w:sz="4" w:space="0" w:color="000000"/>
              <w:left w:val="single" w:sz="4" w:space="0" w:color="000000"/>
              <w:bottom w:val="single" w:sz="4" w:space="0" w:color="000000"/>
              <w:right w:val="single" w:sz="4" w:space="0" w:color="000000"/>
            </w:tcBorders>
          </w:tcPr>
          <w:p w14:paraId="59F5DCBF" w14:textId="77777777" w:rsidR="00494F0F" w:rsidRDefault="00344196">
            <w:pPr>
              <w:widowControl w:val="0"/>
              <w:rPr>
                <w:rFonts w:ascii="Cambria" w:hAnsi="Cambria"/>
                <w:sz w:val="16"/>
              </w:rPr>
            </w:pPr>
            <w:proofErr w:type="gramStart"/>
            <w:r>
              <w:rPr>
                <w:rFonts w:ascii="Cambria" w:hAnsi="Cambria"/>
                <w:sz w:val="16"/>
              </w:rPr>
              <w:t>fille</w:t>
            </w:r>
            <w:proofErr w:type="gramEnd"/>
            <w:r>
              <w:rPr>
                <w:rFonts w:ascii="Cambria" w:hAnsi="Cambria"/>
                <w:sz w:val="16"/>
              </w:rPr>
              <w:t xml:space="preserve"> du boss</w:t>
            </w:r>
          </w:p>
        </w:tc>
        <w:tc>
          <w:tcPr>
            <w:tcW w:w="6662" w:type="dxa"/>
            <w:tcBorders>
              <w:top w:val="single" w:sz="4" w:space="0" w:color="000000"/>
              <w:left w:val="single" w:sz="4" w:space="0" w:color="000000"/>
              <w:bottom w:val="single" w:sz="4" w:space="0" w:color="000000"/>
              <w:right w:val="single" w:sz="4" w:space="0" w:color="000000"/>
            </w:tcBorders>
          </w:tcPr>
          <w:p w14:paraId="48227A48" w14:textId="73537989"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Ce passage est important car il met en scène la fille du boss comme une figure à la fois fascinante et dangereuse. Sa présence dans l'usine, décrite comme une "cage aux fauves", crée une tension palpable parmi les ouvriers.</w:t>
            </w:r>
          </w:p>
          <w:p w14:paraId="6DB9EF66" w14:textId="6116D4D6"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Ce passage, bien qu'il ne mentionne pas directement "la fille du boss", fait référence à une situation où les relations familiales et les attentes sociales jouent un rôle crucial</w:t>
            </w:r>
          </w:p>
        </w:tc>
        <w:tc>
          <w:tcPr>
            <w:tcW w:w="1277" w:type="dxa"/>
            <w:tcBorders>
              <w:top w:val="single" w:sz="4" w:space="0" w:color="000000"/>
              <w:left w:val="single" w:sz="4" w:space="0" w:color="000000"/>
              <w:bottom w:val="single" w:sz="4" w:space="0" w:color="000000"/>
              <w:right w:val="single" w:sz="4" w:space="0" w:color="000000"/>
            </w:tcBorders>
          </w:tcPr>
          <w:p w14:paraId="112214B1" w14:textId="553E5FB2" w:rsidR="00494F0F" w:rsidRDefault="00344196">
            <w:pPr>
              <w:widowControl w:val="0"/>
              <w:rPr>
                <w:rFonts w:ascii="Cambria" w:hAnsi="Cambria"/>
              </w:rPr>
            </w:pPr>
            <w:r>
              <w:rPr>
                <w:rFonts w:ascii="Cambria" w:hAnsi="Cambria"/>
              </w:rPr>
              <w:t>-</w:t>
            </w:r>
            <w:r w:rsidR="00E4480F">
              <w:rPr>
                <w:rFonts w:ascii="Cambria" w:hAnsi="Cambria"/>
              </w:rPr>
              <w:t>170</w:t>
            </w:r>
          </w:p>
          <w:p w14:paraId="63808EDC" w14:textId="3272A06A" w:rsidR="00494F0F" w:rsidRDefault="00344196">
            <w:pPr>
              <w:widowControl w:val="0"/>
              <w:rPr>
                <w:rFonts w:ascii="Cambria" w:hAnsi="Cambria"/>
              </w:rPr>
            </w:pPr>
            <w:r>
              <w:rPr>
                <w:rFonts w:ascii="Cambria" w:hAnsi="Cambria"/>
              </w:rPr>
              <w:t>-</w:t>
            </w:r>
            <w:r w:rsidR="00E4480F">
              <w:rPr>
                <w:rFonts w:ascii="Cambria" w:hAnsi="Cambria"/>
              </w:rPr>
              <w:t>60</w:t>
            </w:r>
          </w:p>
        </w:tc>
      </w:tr>
      <w:tr w:rsidR="00494F0F" w14:paraId="46C0EA33" w14:textId="77777777">
        <w:tc>
          <w:tcPr>
            <w:tcW w:w="1412" w:type="dxa"/>
            <w:tcBorders>
              <w:top w:val="single" w:sz="4" w:space="0" w:color="000000"/>
              <w:left w:val="single" w:sz="4" w:space="0" w:color="000000"/>
              <w:bottom w:val="single" w:sz="4" w:space="0" w:color="000000"/>
              <w:right w:val="single" w:sz="4" w:space="0" w:color="000000"/>
            </w:tcBorders>
          </w:tcPr>
          <w:p w14:paraId="43C28831" w14:textId="77777777" w:rsidR="00494F0F" w:rsidRDefault="00344196">
            <w:pPr>
              <w:widowControl w:val="0"/>
              <w:rPr>
                <w:rFonts w:ascii="Cambria" w:hAnsi="Cambria"/>
                <w:sz w:val="16"/>
              </w:rPr>
            </w:pPr>
            <w:r>
              <w:rPr>
                <w:rFonts w:ascii="Cambria" w:hAnsi="Cambria"/>
                <w:sz w:val="16"/>
              </w:rPr>
              <w:t>Joseph/Josaphat</w:t>
            </w:r>
          </w:p>
        </w:tc>
        <w:tc>
          <w:tcPr>
            <w:tcW w:w="6662" w:type="dxa"/>
            <w:tcBorders>
              <w:top w:val="single" w:sz="4" w:space="0" w:color="000000"/>
              <w:left w:val="single" w:sz="4" w:space="0" w:color="000000"/>
              <w:bottom w:val="single" w:sz="4" w:space="0" w:color="000000"/>
              <w:right w:val="single" w:sz="4" w:space="0" w:color="000000"/>
            </w:tcBorders>
          </w:tcPr>
          <w:p w14:paraId="18EF96B8" w14:textId="2BC22883"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Ce passage est crucial car il met en lumière les conditions précaires et inhumaines dans lesquelles travaillent Joseph et Josaphat. Leur arrestation par la police et le commentaire du boss soulignent l'exploitation des travailleurs sans statut légal, qui sont souvent les plus vulnérables et les moins protégés. </w:t>
            </w:r>
          </w:p>
          <w:p w14:paraId="3A75DF4B" w14:textId="1F1E0F2A"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Ce passage est important car il raconte l'histoire de Joseph et Josaphat, soulignant leur sacrifice et leur détermination à chercher une vie meilleure. Ils ont tout vendu pour immigrer à Montréal, mais se retrouvent dans une situation d'exploitation et de peur constante d'être renvoyés. </w:t>
            </w:r>
          </w:p>
        </w:tc>
        <w:tc>
          <w:tcPr>
            <w:tcW w:w="1277" w:type="dxa"/>
            <w:tcBorders>
              <w:top w:val="single" w:sz="4" w:space="0" w:color="000000"/>
              <w:left w:val="single" w:sz="4" w:space="0" w:color="000000"/>
              <w:bottom w:val="single" w:sz="4" w:space="0" w:color="000000"/>
              <w:right w:val="single" w:sz="4" w:space="0" w:color="000000"/>
            </w:tcBorders>
          </w:tcPr>
          <w:p w14:paraId="570420E7" w14:textId="31457D8E" w:rsidR="00494F0F" w:rsidRDefault="00344196">
            <w:pPr>
              <w:widowControl w:val="0"/>
              <w:rPr>
                <w:rFonts w:ascii="Cambria" w:hAnsi="Cambria"/>
              </w:rPr>
            </w:pPr>
            <w:r>
              <w:rPr>
                <w:rFonts w:ascii="Cambria" w:hAnsi="Cambria"/>
              </w:rPr>
              <w:t>-</w:t>
            </w:r>
            <w:r w:rsidR="00E4480F">
              <w:rPr>
                <w:rFonts w:ascii="Cambria" w:hAnsi="Cambria"/>
              </w:rPr>
              <w:t>201</w:t>
            </w:r>
          </w:p>
          <w:p w14:paraId="546F23E5" w14:textId="1181C6F7" w:rsidR="00494F0F" w:rsidRDefault="00344196">
            <w:pPr>
              <w:widowControl w:val="0"/>
              <w:rPr>
                <w:rFonts w:ascii="Cambria" w:hAnsi="Cambria"/>
              </w:rPr>
            </w:pPr>
            <w:r>
              <w:rPr>
                <w:rFonts w:ascii="Cambria" w:hAnsi="Cambria"/>
              </w:rPr>
              <w:t>-</w:t>
            </w:r>
            <w:r w:rsidR="00E4480F">
              <w:rPr>
                <w:rFonts w:ascii="Cambria" w:hAnsi="Cambria"/>
              </w:rPr>
              <w:t>179</w:t>
            </w:r>
          </w:p>
        </w:tc>
      </w:tr>
      <w:tr w:rsidR="00494F0F" w14:paraId="08EBCC03" w14:textId="77777777">
        <w:tc>
          <w:tcPr>
            <w:tcW w:w="1412" w:type="dxa"/>
            <w:tcBorders>
              <w:top w:val="single" w:sz="4" w:space="0" w:color="000000"/>
              <w:left w:val="single" w:sz="4" w:space="0" w:color="000000"/>
              <w:bottom w:val="single" w:sz="4" w:space="0" w:color="000000"/>
              <w:right w:val="single" w:sz="4" w:space="0" w:color="000000"/>
            </w:tcBorders>
          </w:tcPr>
          <w:p w14:paraId="71E5707B" w14:textId="77777777" w:rsidR="00494F0F" w:rsidRDefault="00344196">
            <w:pPr>
              <w:widowControl w:val="0"/>
              <w:rPr>
                <w:rFonts w:ascii="Cambria" w:hAnsi="Cambria"/>
                <w:sz w:val="16"/>
              </w:rPr>
            </w:pPr>
            <w:proofErr w:type="gramStart"/>
            <w:r>
              <w:rPr>
                <w:rFonts w:ascii="Cambria" w:hAnsi="Cambria"/>
                <w:sz w:val="16"/>
              </w:rPr>
              <w:t>mère</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0A19033E" w14:textId="7BAA6E90"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Ce passage est important car il montre le lien profond et émotionnel entre le narrateur et sa mère. La réception de la lettre, décrite avec une grande émotion, souligne l'importance des liens familiaux et des racines, même à distance.</w:t>
            </w:r>
          </w:p>
          <w:p w14:paraId="7C9E0C01" w14:textId="4C1C7087"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Ce passage est crucial car il raconte l'histoire tragique de la mère de Maria, qui a sacrifié tout pour retrouver l'homme qu'elle aimait, seulement pour mourir de chagrin en réalisant qu'il ne reviendrait jamais en Italie.</w:t>
            </w:r>
          </w:p>
        </w:tc>
        <w:tc>
          <w:tcPr>
            <w:tcW w:w="1277" w:type="dxa"/>
            <w:tcBorders>
              <w:top w:val="single" w:sz="4" w:space="0" w:color="000000"/>
              <w:left w:val="single" w:sz="4" w:space="0" w:color="000000"/>
              <w:bottom w:val="single" w:sz="4" w:space="0" w:color="000000"/>
              <w:right w:val="single" w:sz="4" w:space="0" w:color="000000"/>
            </w:tcBorders>
          </w:tcPr>
          <w:p w14:paraId="563F8231" w14:textId="5EF336D6" w:rsidR="00494F0F" w:rsidRDefault="00344196">
            <w:pPr>
              <w:widowControl w:val="0"/>
              <w:rPr>
                <w:rFonts w:ascii="Cambria" w:hAnsi="Cambria"/>
              </w:rPr>
            </w:pPr>
            <w:r>
              <w:rPr>
                <w:rFonts w:ascii="Cambria" w:hAnsi="Cambria"/>
              </w:rPr>
              <w:t>-</w:t>
            </w:r>
            <w:r w:rsidR="00E4480F">
              <w:rPr>
                <w:rFonts w:ascii="Cambria" w:hAnsi="Cambria"/>
              </w:rPr>
              <w:t>190</w:t>
            </w:r>
          </w:p>
          <w:p w14:paraId="5D726725" w14:textId="330EC2AB" w:rsidR="00494F0F" w:rsidRDefault="00344196">
            <w:pPr>
              <w:widowControl w:val="0"/>
              <w:rPr>
                <w:rFonts w:ascii="Cambria" w:hAnsi="Cambria"/>
              </w:rPr>
            </w:pPr>
            <w:r>
              <w:rPr>
                <w:rFonts w:ascii="Cambria" w:hAnsi="Cambria"/>
              </w:rPr>
              <w:t>-</w:t>
            </w:r>
            <w:r w:rsidR="00E4480F">
              <w:rPr>
                <w:rFonts w:ascii="Cambria" w:hAnsi="Cambria"/>
              </w:rPr>
              <w:t>59</w:t>
            </w:r>
          </w:p>
        </w:tc>
      </w:tr>
      <w:tr w:rsidR="00494F0F" w14:paraId="51DE1679" w14:textId="77777777">
        <w:tc>
          <w:tcPr>
            <w:tcW w:w="1412" w:type="dxa"/>
            <w:tcBorders>
              <w:top w:val="single" w:sz="4" w:space="0" w:color="000000"/>
              <w:left w:val="single" w:sz="4" w:space="0" w:color="000000"/>
              <w:bottom w:val="single" w:sz="4" w:space="0" w:color="000000"/>
              <w:right w:val="single" w:sz="4" w:space="0" w:color="000000"/>
            </w:tcBorders>
          </w:tcPr>
          <w:p w14:paraId="58FE5333" w14:textId="77777777" w:rsidR="00494F0F" w:rsidRDefault="00344196">
            <w:pPr>
              <w:widowControl w:val="0"/>
              <w:rPr>
                <w:rFonts w:ascii="Cambria" w:hAnsi="Cambria"/>
                <w:sz w:val="16"/>
              </w:rPr>
            </w:pPr>
            <w:proofErr w:type="gramStart"/>
            <w:r>
              <w:rPr>
                <w:rFonts w:ascii="Cambria" w:hAnsi="Cambria"/>
                <w:sz w:val="16"/>
              </w:rPr>
              <w:t>écrivain</w:t>
            </w:r>
            <w:proofErr w:type="gramEnd"/>
          </w:p>
        </w:tc>
        <w:tc>
          <w:tcPr>
            <w:tcW w:w="6662" w:type="dxa"/>
            <w:tcBorders>
              <w:top w:val="single" w:sz="4" w:space="0" w:color="000000"/>
              <w:left w:val="single" w:sz="4" w:space="0" w:color="000000"/>
              <w:bottom w:val="single" w:sz="4" w:space="0" w:color="000000"/>
              <w:right w:val="single" w:sz="4" w:space="0" w:color="000000"/>
            </w:tcBorders>
          </w:tcPr>
          <w:p w14:paraId="2FCAA9A3" w14:textId="2F469FB5"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Ce passage est crucial car il marque un tournant décisif dans la vie du narrateur. En quittant son emploi pour devenir écrivain, il fait un acte de rébellion et de quête de liberté personnelle. La machine à écrire Remington 22 symbolise son engagement envers son nouveau chemin de vie et son désir de s'exprimer à travers l'écriture.</w:t>
            </w:r>
          </w:p>
          <w:p w14:paraId="0CDAB174" w14:textId="158799CB" w:rsidR="00494F0F" w:rsidRPr="002730FC" w:rsidRDefault="00344196" w:rsidP="002730FC">
            <w:pPr>
              <w:rPr>
                <w:rFonts w:asciiTheme="minorHAnsi" w:hAnsiTheme="minorHAnsi" w:cstheme="minorHAnsi"/>
                <w:sz w:val="16"/>
                <w:szCs w:val="16"/>
              </w:rPr>
            </w:pPr>
            <w:r w:rsidRPr="002730FC">
              <w:rPr>
                <w:rFonts w:asciiTheme="minorHAnsi" w:hAnsiTheme="minorHAnsi" w:cstheme="minorHAnsi"/>
                <w:sz w:val="16"/>
                <w:szCs w:val="16"/>
              </w:rPr>
              <w:t>-</w:t>
            </w:r>
            <w:r w:rsidR="00E4480F" w:rsidRPr="002730FC">
              <w:rPr>
                <w:rFonts w:asciiTheme="minorHAnsi" w:hAnsiTheme="minorHAnsi" w:cstheme="minorHAnsi"/>
                <w:sz w:val="16"/>
                <w:szCs w:val="16"/>
              </w:rPr>
              <w:t xml:space="preserve"> Ce passage est important car il montre l'admiration du narrateur pour d'autres écrivains célèbres comme Hemingway et Miller. En évoquant "Paris est une fête" et "Jours tranquilles à Clichy", le narrateur se situe dans une tradition littéraire et exprime son aspiration à capturer la beauté et la complexité de la vie à travers l'écriture.</w:t>
            </w:r>
          </w:p>
        </w:tc>
        <w:tc>
          <w:tcPr>
            <w:tcW w:w="1277" w:type="dxa"/>
            <w:tcBorders>
              <w:top w:val="single" w:sz="4" w:space="0" w:color="000000"/>
              <w:left w:val="single" w:sz="4" w:space="0" w:color="000000"/>
              <w:bottom w:val="single" w:sz="4" w:space="0" w:color="000000"/>
              <w:right w:val="single" w:sz="4" w:space="0" w:color="000000"/>
            </w:tcBorders>
          </w:tcPr>
          <w:p w14:paraId="3CD65D72" w14:textId="58F48412" w:rsidR="00494F0F" w:rsidRDefault="00344196">
            <w:pPr>
              <w:widowControl w:val="0"/>
              <w:rPr>
                <w:rFonts w:ascii="Cambria" w:hAnsi="Cambria"/>
              </w:rPr>
            </w:pPr>
            <w:r>
              <w:rPr>
                <w:rFonts w:ascii="Cambria" w:hAnsi="Cambria"/>
              </w:rPr>
              <w:t>-</w:t>
            </w:r>
            <w:r w:rsidR="00E4480F">
              <w:rPr>
                <w:rFonts w:ascii="Cambria" w:hAnsi="Cambria"/>
              </w:rPr>
              <w:t>208</w:t>
            </w:r>
          </w:p>
          <w:p w14:paraId="06CBC1FF" w14:textId="4897BA5C" w:rsidR="00494F0F" w:rsidRDefault="00344196">
            <w:pPr>
              <w:widowControl w:val="0"/>
              <w:rPr>
                <w:rFonts w:ascii="Cambria" w:hAnsi="Cambria"/>
              </w:rPr>
            </w:pPr>
            <w:r>
              <w:rPr>
                <w:rFonts w:ascii="Cambria" w:hAnsi="Cambria"/>
              </w:rPr>
              <w:t>-</w:t>
            </w:r>
            <w:r w:rsidR="00E4480F">
              <w:rPr>
                <w:rFonts w:ascii="Cambria" w:hAnsi="Cambria"/>
              </w:rPr>
              <w:t>84</w:t>
            </w:r>
          </w:p>
        </w:tc>
      </w:tr>
    </w:tbl>
    <w:p w14:paraId="5010FAB2" w14:textId="77777777" w:rsidR="00494F0F" w:rsidRDefault="00494F0F">
      <w:pPr>
        <w:rPr>
          <w:rFonts w:ascii="Cambria" w:hAnsi="Cambria"/>
          <w:b/>
          <w:bCs/>
          <w:sz w:val="24"/>
          <w:szCs w:val="24"/>
        </w:rPr>
      </w:pPr>
    </w:p>
    <w:tbl>
      <w:tblPr>
        <w:tblStyle w:val="Grilledutableau"/>
        <w:tblW w:w="8630" w:type="dxa"/>
        <w:tblLayout w:type="fixed"/>
        <w:tblLook w:val="04A0" w:firstRow="1" w:lastRow="0" w:firstColumn="1" w:lastColumn="0" w:noHBand="0" w:noVBand="1"/>
      </w:tblPr>
      <w:tblGrid>
        <w:gridCol w:w="8630"/>
      </w:tblGrid>
      <w:tr w:rsidR="00494F0F" w14:paraId="1721BF9A" w14:textId="77777777" w:rsidTr="00F23A02">
        <w:trPr>
          <w:trHeight w:val="440"/>
        </w:trPr>
        <w:tc>
          <w:tcPr>
            <w:tcW w:w="8630" w:type="dxa"/>
          </w:tcPr>
          <w:p w14:paraId="366E573B" w14:textId="77777777" w:rsidR="00494F0F" w:rsidRDefault="00344196">
            <w:pPr>
              <w:rPr>
                <w:rFonts w:ascii="Cambria" w:hAnsi="Cambria"/>
                <w:b/>
                <w:bCs/>
                <w:sz w:val="24"/>
                <w:szCs w:val="24"/>
              </w:rPr>
            </w:pPr>
            <w:r>
              <w:rPr>
                <w:rFonts w:ascii="Cambria" w:hAnsi="Cambria"/>
                <w:b/>
                <w:bCs/>
                <w:sz w:val="24"/>
                <w:szCs w:val="24"/>
              </w:rPr>
              <w:t>QUESTION À DÉVELOPPEMENT : En environ 50 mots, quelle est votre opinion sur le personnage principal? Vous est-il sympathique ou non?</w:t>
            </w:r>
          </w:p>
          <w:p w14:paraId="44613F05" w14:textId="77777777" w:rsidR="00494F0F" w:rsidRDefault="00494F0F">
            <w:pPr>
              <w:rPr>
                <w:rFonts w:ascii="Cambria" w:hAnsi="Cambria"/>
                <w:b/>
                <w:bCs/>
                <w:sz w:val="24"/>
                <w:szCs w:val="24"/>
              </w:rPr>
            </w:pPr>
          </w:p>
          <w:p w14:paraId="61BB6AAC" w14:textId="77777777" w:rsidR="00494F0F" w:rsidRDefault="00494F0F">
            <w:pPr>
              <w:rPr>
                <w:rFonts w:ascii="Cambria" w:hAnsi="Cambria"/>
                <w:b/>
                <w:bCs/>
                <w:sz w:val="24"/>
                <w:szCs w:val="24"/>
              </w:rPr>
            </w:pPr>
          </w:p>
          <w:p w14:paraId="5437EA94" w14:textId="77777777" w:rsidR="00494F0F" w:rsidRDefault="002730FC">
            <w:pPr>
              <w:rPr>
                <w:rFonts w:ascii="Cambria" w:hAnsi="Cambria"/>
                <w:b/>
                <w:bCs/>
                <w:sz w:val="24"/>
                <w:szCs w:val="24"/>
              </w:rPr>
            </w:pPr>
            <w:r w:rsidRPr="002730FC">
              <w:rPr>
                <w:rFonts w:ascii="Cambria" w:hAnsi="Cambria"/>
                <w:b/>
                <w:bCs/>
                <w:sz w:val="24"/>
                <w:szCs w:val="24"/>
              </w:rPr>
              <w:t>Je pense que le personnage principal est vraiment captivant. Sa décision de quitter son travail pour devenir écrivain montre son audace et son besoin de s'exprimer. J'admire sa détermination malgré les obstacles. Ses relations avec les autres, comme la secrétaire et les ouvriers, révèlent sa sensibilité et son désir de comprendre le monde.</w:t>
            </w:r>
          </w:p>
          <w:p w14:paraId="3377D48C" w14:textId="74E360CF" w:rsidR="002A62AD" w:rsidRDefault="002A62AD">
            <w:pPr>
              <w:rPr>
                <w:rFonts w:ascii="Cambria" w:hAnsi="Cambria"/>
                <w:b/>
                <w:bCs/>
                <w:sz w:val="24"/>
                <w:szCs w:val="24"/>
              </w:rPr>
            </w:pPr>
          </w:p>
        </w:tc>
      </w:tr>
    </w:tbl>
    <w:p w14:paraId="04C02807" w14:textId="77777777" w:rsidR="00494F0F" w:rsidRDefault="00494F0F">
      <w:pPr>
        <w:rPr>
          <w:rFonts w:ascii="Georgia" w:hAnsi="Georgia"/>
          <w:sz w:val="32"/>
          <w:szCs w:val="32"/>
        </w:rPr>
      </w:pPr>
    </w:p>
    <w:sectPr w:rsidR="00494F0F">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F0F"/>
    <w:rsid w:val="00203585"/>
    <w:rsid w:val="00225348"/>
    <w:rsid w:val="002730FC"/>
    <w:rsid w:val="00274464"/>
    <w:rsid w:val="00293437"/>
    <w:rsid w:val="002A62AD"/>
    <w:rsid w:val="002D6432"/>
    <w:rsid w:val="00344196"/>
    <w:rsid w:val="003B1673"/>
    <w:rsid w:val="004103C0"/>
    <w:rsid w:val="00442F7C"/>
    <w:rsid w:val="00494F0F"/>
    <w:rsid w:val="004B3E2F"/>
    <w:rsid w:val="004D1DEC"/>
    <w:rsid w:val="005E2062"/>
    <w:rsid w:val="005F1D73"/>
    <w:rsid w:val="00A309D1"/>
    <w:rsid w:val="00B451B6"/>
    <w:rsid w:val="00B53A92"/>
    <w:rsid w:val="00BD3C6E"/>
    <w:rsid w:val="00BE4430"/>
    <w:rsid w:val="00C872A5"/>
    <w:rsid w:val="00E1522C"/>
    <w:rsid w:val="00E4480F"/>
    <w:rsid w:val="00EE6E1E"/>
    <w:rsid w:val="00F23A02"/>
    <w:rsid w:val="00F9595D"/>
    <w:rsid w:val="00FB3C0E"/>
  </w:rsids>
  <m:mathPr>
    <m:mathFont m:val="Cambria Math"/>
    <m:brkBin m:val="before"/>
    <m:brkBinSub m:val="--"/>
    <m:smallFrac m:val="0"/>
    <m:dispDef/>
    <m:lMargin m:val="0"/>
    <m:rMargin m:val="0"/>
    <m:defJc m:val="centerGroup"/>
    <m:wrapIndent m:val="1440"/>
    <m:intLim m:val="subSup"/>
    <m:naryLim m:val="undOvr"/>
  </m:mathPr>
  <w:themeFontLang w:val="fr-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C6939"/>
  <w15:docId w15:val="{4DD27E4C-0D21-42C6-B829-6965C85AD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DD8"/>
    <w:rPr>
      <w:rFonts w:ascii="Times New Roman" w:eastAsia="Times New Roman" w:hAnsi="Times New Roman" w:cs="Times New Roman"/>
      <w:sz w:val="20"/>
      <w:szCs w:val="20"/>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aragraphedeliste">
    <w:name w:val="List Paragraph"/>
    <w:basedOn w:val="Normal"/>
    <w:uiPriority w:val="34"/>
    <w:qFormat/>
    <w:rsid w:val="00C02CF9"/>
    <w:pPr>
      <w:ind w:left="720"/>
      <w:contextualSpacing/>
    </w:pPr>
  </w:style>
  <w:style w:type="table" w:styleId="Grilledutableau">
    <w:name w:val="Table Grid"/>
    <w:basedOn w:val="TableauNormal"/>
    <w:uiPriority w:val="39"/>
    <w:rsid w:val="005559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E448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2198</Words>
  <Characters>12530</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dc:creator>
  <dc:description/>
  <cp:lastModifiedBy>Archambault-Bouffard Christopher-William</cp:lastModifiedBy>
  <cp:revision>29</cp:revision>
  <cp:lastPrinted>2024-05-28T22:20:00Z</cp:lastPrinted>
  <dcterms:created xsi:type="dcterms:W3CDTF">2023-05-30T22:48:00Z</dcterms:created>
  <dcterms:modified xsi:type="dcterms:W3CDTF">2024-06-14T17:25:00Z</dcterms:modified>
  <dc:language>en-CA</dc:language>
</cp:coreProperties>
</file>