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rPr>
      </w:pPr>
      <w:r>
        <w:rPr>
          <w:b/>
          <w:bCs/>
        </w:rPr>
        <w:t>Oral (6%)</w:t>
      </w:r>
    </w:p>
    <w:p>
      <w:pPr>
        <w:pStyle w:val="Normal"/>
        <w:rPr>
          <w:b/>
          <w:b/>
          <w:bCs/>
        </w:rPr>
      </w:pPr>
      <w:r>
        <w:rPr>
          <w:b/>
          <w:bCs/>
        </w:rPr>
        <w:t>En équipes de 3 ou 4, explorez un des sujets proposés :</w:t>
      </w:r>
    </w:p>
    <w:p>
      <w:pPr>
        <w:pStyle w:val="Normal"/>
        <w:rPr>
          <w:b/>
          <w:b/>
          <w:bCs/>
        </w:rPr>
      </w:pPr>
      <w:r>
        <w:rPr>
          <w:b/>
          <w:bCs/>
        </w:rPr>
        <w:t>Sujets :</w:t>
      </w:r>
    </w:p>
    <w:p>
      <w:pPr>
        <w:pStyle w:val="ListParagraph"/>
        <w:numPr>
          <w:ilvl w:val="0"/>
          <w:numId w:val="1"/>
        </w:numPr>
        <w:rPr>
          <w:b/>
          <w:b/>
          <w:bCs/>
        </w:rPr>
      </w:pPr>
      <w:r>
        <w:rPr>
          <w:b/>
          <w:bCs/>
        </w:rPr>
        <w:t xml:space="preserve">Le thème de l’Autre dans </w:t>
      </w:r>
      <w:r>
        <w:rPr>
          <w:b/>
          <w:bCs/>
          <w:i/>
          <w:iCs/>
        </w:rPr>
        <w:t xml:space="preserve">Huis clos </w:t>
      </w:r>
      <w:r>
        <w:rPr>
          <w:b/>
          <w:bCs/>
        </w:rPr>
        <w:t xml:space="preserve">et dans </w:t>
      </w:r>
      <w:r>
        <w:rPr>
          <w:b/>
          <w:bCs/>
          <w:i/>
          <w:iCs/>
        </w:rPr>
        <w:t>Le dieu du carnage.</w:t>
      </w:r>
    </w:p>
    <w:p>
      <w:pPr>
        <w:pStyle w:val="ListParagraph"/>
        <w:numPr>
          <w:ilvl w:val="0"/>
          <w:numId w:val="1"/>
        </w:numPr>
        <w:rPr>
          <w:b/>
          <w:b/>
          <w:bCs/>
        </w:rPr>
      </w:pPr>
      <w:r>
        <w:rPr>
          <w:b/>
          <w:bCs/>
        </w:rPr>
        <w:t xml:space="preserve">La représentation de la résilience féminine dans </w:t>
      </w:r>
      <w:r>
        <w:rPr>
          <w:b/>
          <w:bCs/>
          <w:i/>
          <w:iCs/>
        </w:rPr>
        <w:t>La vie et demie</w:t>
      </w:r>
      <w:r>
        <w:rPr>
          <w:b/>
          <w:bCs/>
          <w:iCs/>
        </w:rPr>
        <w:t xml:space="preserve">, </w:t>
      </w:r>
      <w:r>
        <w:rPr>
          <w:b/>
          <w:bCs/>
          <w:i/>
          <w:iCs/>
        </w:rPr>
        <w:t xml:space="preserve">Une si longue lettre </w:t>
      </w:r>
      <w:r>
        <w:rPr>
          <w:b/>
          <w:bCs/>
        </w:rPr>
        <w:t xml:space="preserve">et </w:t>
      </w:r>
      <w:r>
        <w:rPr>
          <w:b/>
          <w:bCs/>
          <w:i/>
          <w:iCs/>
        </w:rPr>
        <w:t>Mémoire de fille.</w:t>
      </w:r>
    </w:p>
    <w:p>
      <w:pPr>
        <w:pStyle w:val="ListParagraph"/>
        <w:numPr>
          <w:ilvl w:val="0"/>
          <w:numId w:val="1"/>
        </w:numPr>
        <w:rPr>
          <w:b/>
          <w:b/>
          <w:bCs/>
        </w:rPr>
      </w:pPr>
      <w:r>
        <w:rPr>
          <w:b/>
          <w:bCs/>
        </w:rPr>
        <w:t>La masculinité toxique dans</w:t>
      </w:r>
      <w:r>
        <w:rPr>
          <w:b/>
          <w:bCs/>
          <w:i/>
          <w:iCs/>
        </w:rPr>
        <w:t xml:space="preserve"> Les belles images, Mémoire de fille </w:t>
      </w:r>
      <w:r>
        <w:rPr>
          <w:b/>
          <w:bCs/>
        </w:rPr>
        <w:t xml:space="preserve">et </w:t>
      </w:r>
      <w:r>
        <w:rPr>
          <w:b/>
          <w:bCs/>
          <w:i/>
          <w:iCs/>
        </w:rPr>
        <w:t>Le dieu du carnage.</w:t>
      </w:r>
    </w:p>
    <w:p>
      <w:pPr>
        <w:pStyle w:val="ListParagraph"/>
        <w:numPr>
          <w:ilvl w:val="0"/>
          <w:numId w:val="1"/>
        </w:numPr>
        <w:rPr>
          <w:b/>
          <w:b/>
          <w:bCs/>
        </w:rPr>
      </w:pPr>
      <w:r>
        <w:rPr>
          <w:b/>
          <w:bCs/>
        </w:rPr>
        <w:t xml:space="preserve">Similitudes entre </w:t>
      </w:r>
      <w:r>
        <w:rPr>
          <w:b/>
          <w:bCs/>
          <w:i/>
          <w:iCs/>
        </w:rPr>
        <w:t xml:space="preserve">Huis clos </w:t>
      </w:r>
      <w:r>
        <w:rPr>
          <w:b/>
          <w:bCs/>
        </w:rPr>
        <w:t xml:space="preserve">et </w:t>
      </w:r>
      <w:r>
        <w:rPr>
          <w:b/>
          <w:bCs/>
          <w:i/>
          <w:iCs/>
        </w:rPr>
        <w:t>Le dieu du carnage</w:t>
      </w:r>
      <w:r>
        <w:rPr>
          <w:b/>
          <w:bCs/>
        </w:rPr>
        <w:t>.</w:t>
      </w:r>
    </w:p>
    <w:p>
      <w:pPr>
        <w:pStyle w:val="ListParagraph"/>
        <w:numPr>
          <w:ilvl w:val="0"/>
          <w:numId w:val="1"/>
        </w:numPr>
        <w:rPr>
          <w:b/>
          <w:b/>
          <w:bCs/>
        </w:rPr>
      </w:pPr>
      <w:r>
        <w:rPr>
          <w:b/>
          <w:bCs/>
        </w:rPr>
        <w:t xml:space="preserve">Le thème du couple dans </w:t>
      </w:r>
      <w:r>
        <w:rPr>
          <w:b/>
          <w:bCs/>
          <w:i/>
          <w:iCs/>
        </w:rPr>
        <w:t xml:space="preserve">Ni d’Ève ni d’Adam </w:t>
      </w:r>
      <w:r>
        <w:rPr>
          <w:b/>
          <w:bCs/>
        </w:rPr>
        <w:t xml:space="preserve">et dans </w:t>
      </w:r>
      <w:r>
        <w:rPr>
          <w:b/>
          <w:bCs/>
          <w:i/>
          <w:iCs/>
        </w:rPr>
        <w:t>Le dieu du carnage.</w:t>
      </w:r>
    </w:p>
    <w:p>
      <w:pPr>
        <w:pStyle w:val="ListParagraph"/>
        <w:numPr>
          <w:ilvl w:val="0"/>
          <w:numId w:val="1"/>
        </w:numPr>
        <w:rPr>
          <w:b/>
          <w:b/>
          <w:bCs/>
        </w:rPr>
      </w:pPr>
      <w:r>
        <w:rPr>
          <w:b/>
          <w:bCs/>
        </w:rPr>
        <w:t xml:space="preserve">Le thème du racisme dans </w:t>
      </w:r>
      <w:r>
        <w:rPr>
          <w:b/>
          <w:bCs/>
          <w:i/>
        </w:rPr>
        <w:t xml:space="preserve">La noire de </w:t>
      </w:r>
      <w:r>
        <w:rPr>
          <w:b/>
          <w:bCs/>
        </w:rPr>
        <w:t xml:space="preserve">et dans </w:t>
      </w:r>
      <w:r>
        <w:rPr>
          <w:b/>
          <w:bCs/>
          <w:i/>
        </w:rPr>
        <w:t>Le ventre de l’Atlantique</w:t>
      </w:r>
      <w:r>
        <w:rPr>
          <w:b/>
          <w:bCs/>
        </w:rPr>
        <w:t>.</w:t>
      </w:r>
    </w:p>
    <w:p>
      <w:pPr>
        <w:pStyle w:val="ListParagraph"/>
        <w:numPr>
          <w:ilvl w:val="0"/>
          <w:numId w:val="1"/>
        </w:numPr>
        <w:rPr>
          <w:b/>
          <w:b/>
          <w:bCs/>
        </w:rPr>
      </w:pPr>
      <w:r>
        <w:rPr>
          <w:b/>
          <w:bCs/>
        </w:rPr>
        <w:t xml:space="preserve">La représentation de la bourgeoisie dans </w:t>
      </w:r>
      <w:r>
        <w:rPr>
          <w:b/>
          <w:bCs/>
          <w:i/>
        </w:rPr>
        <w:t>Huis clos</w:t>
      </w:r>
      <w:r>
        <w:rPr>
          <w:b/>
          <w:bCs/>
        </w:rPr>
        <w:t xml:space="preserve">, </w:t>
      </w:r>
      <w:r>
        <w:rPr>
          <w:b/>
          <w:bCs/>
          <w:i/>
        </w:rPr>
        <w:t>La noire de</w:t>
      </w:r>
      <w:r>
        <w:rPr>
          <w:b/>
          <w:bCs/>
        </w:rPr>
        <w:t xml:space="preserve"> et </w:t>
      </w:r>
      <w:r>
        <w:rPr>
          <w:b/>
          <w:bCs/>
          <w:i/>
        </w:rPr>
        <w:t>Le dieu du carnage</w:t>
      </w:r>
      <w:r>
        <w:rPr>
          <w:b/>
          <w:bCs/>
        </w:rPr>
        <w:t>.</w:t>
      </w:r>
    </w:p>
    <w:p>
      <w:pPr>
        <w:pStyle w:val="ListParagraph"/>
        <w:numPr>
          <w:ilvl w:val="0"/>
          <w:numId w:val="1"/>
        </w:numPr>
        <w:rPr>
          <w:b/>
          <w:b/>
          <w:bCs/>
        </w:rPr>
      </w:pPr>
      <w:r>
        <w:rPr>
          <w:b/>
          <w:bCs/>
        </w:rPr>
        <w:t xml:space="preserve">La caricature dans </w:t>
      </w:r>
      <w:r>
        <w:rPr>
          <w:b/>
          <w:bCs/>
          <w:i/>
          <w:iCs/>
        </w:rPr>
        <w:t>Le Dieu du carnage</w:t>
      </w:r>
      <w:r>
        <w:rPr>
          <w:b/>
          <w:bCs/>
        </w:rPr>
        <w:t>.</w:t>
      </w:r>
    </w:p>
    <w:p>
      <w:pPr>
        <w:pStyle w:val="ListParagraph"/>
        <w:numPr>
          <w:ilvl w:val="0"/>
          <w:numId w:val="1"/>
        </w:numPr>
        <w:rPr>
          <w:b/>
          <w:b/>
          <w:bCs/>
        </w:rPr>
      </w:pPr>
      <w:r>
        <w:rPr>
          <w:b/>
          <w:bCs/>
        </w:rPr>
        <w:t xml:space="preserve">Le thème de la mémoire dans </w:t>
      </w:r>
      <w:r>
        <w:rPr>
          <w:b/>
          <w:bCs/>
          <w:i/>
          <w:iCs/>
        </w:rPr>
        <w:t>Homo sapienne.</w:t>
      </w:r>
    </w:p>
    <w:p>
      <w:pPr>
        <w:pStyle w:val="ListParagraph"/>
        <w:numPr>
          <w:ilvl w:val="0"/>
          <w:numId w:val="1"/>
        </w:numPr>
        <w:rPr>
          <w:b/>
          <w:b/>
          <w:bCs/>
        </w:rPr>
      </w:pPr>
      <w:r>
        <w:rPr>
          <w:b/>
          <w:bCs/>
        </w:rPr>
        <w:t xml:space="preserve">Le thème de la littérature dans </w:t>
      </w:r>
      <w:r>
        <w:rPr>
          <w:b/>
          <w:bCs/>
          <w:i/>
          <w:iCs/>
        </w:rPr>
        <w:t>Le vieux qui lisait des romans d’amour.</w:t>
      </w:r>
    </w:p>
    <w:p>
      <w:pPr>
        <w:pStyle w:val="Normal"/>
        <w:rPr>
          <w:b/>
          <w:b/>
          <w:bCs/>
        </w:rPr>
      </w:pPr>
      <w:r>
        <w:rPr>
          <w:b/>
          <w:bCs/>
        </w:rPr>
      </w:r>
    </w:p>
    <w:p>
      <w:pPr>
        <w:pStyle w:val="Normal"/>
        <w:rPr>
          <w:b/>
          <w:b/>
          <w:bCs/>
        </w:rPr>
      </w:pPr>
      <w:r>
        <w:rPr>
          <w:b/>
          <w:bCs/>
        </w:rPr>
        <w:t>Consignes :</w:t>
      </w:r>
    </w:p>
    <w:p>
      <w:pPr>
        <w:pStyle w:val="ListParagraph"/>
        <w:numPr>
          <w:ilvl w:val="0"/>
          <w:numId w:val="2"/>
        </w:numPr>
        <w:rPr>
          <w:b/>
          <w:b/>
          <w:bCs/>
        </w:rPr>
      </w:pPr>
      <w:r>
        <w:rPr>
          <w:b/>
          <w:bCs/>
        </w:rPr>
        <w:t>Il ne pourra pas avoir plus de 3 équipes travaillant sur le même sujet.</w:t>
      </w:r>
    </w:p>
    <w:p>
      <w:pPr>
        <w:pStyle w:val="ListParagraph"/>
        <w:numPr>
          <w:ilvl w:val="0"/>
          <w:numId w:val="2"/>
        </w:numPr>
        <w:rPr>
          <w:b/>
          <w:b/>
          <w:bCs/>
        </w:rPr>
      </w:pPr>
      <w:r>
        <w:rPr>
          <w:b/>
          <w:bCs/>
        </w:rPr>
        <w:t>Chaque membre de l’équipe devra parler pendant 2 minutes.</w:t>
      </w:r>
    </w:p>
    <w:p>
      <w:pPr>
        <w:pStyle w:val="ListParagraph"/>
        <w:numPr>
          <w:ilvl w:val="0"/>
          <w:numId w:val="2"/>
        </w:numPr>
        <w:rPr>
          <w:b/>
          <w:b/>
          <w:bCs/>
        </w:rPr>
      </w:pPr>
      <w:r>
        <w:rPr>
          <w:b/>
          <w:bCs/>
        </w:rPr>
        <w:t>Chaque équipe devra présenter au moins 2 nouvelles informations concernant le contexte sociohistorique de l’(ou des) œuvre(s) concernée(s).</w:t>
      </w:r>
    </w:p>
    <w:p>
      <w:pPr>
        <w:pStyle w:val="ListParagraph"/>
        <w:numPr>
          <w:ilvl w:val="0"/>
          <w:numId w:val="2"/>
        </w:numPr>
        <w:rPr>
          <w:b/>
          <w:b/>
          <w:bCs/>
        </w:rPr>
      </w:pPr>
      <w:r>
        <w:rPr>
          <w:b/>
          <w:bCs/>
        </w:rPr>
        <w:t>Chaque équipe devra présenter au moins 3 citations (au total).</w:t>
      </w:r>
    </w:p>
    <w:p>
      <w:pPr>
        <w:pStyle w:val="ListParagraph"/>
        <w:numPr>
          <w:ilvl w:val="0"/>
          <w:numId w:val="2"/>
        </w:numPr>
        <w:rPr>
          <w:b/>
          <w:b/>
          <w:bCs/>
        </w:rPr>
      </w:pPr>
      <w:r>
        <w:rPr>
          <w:b/>
          <w:bCs/>
        </w:rPr>
        <w:t>Chaque équipe fournira un support visuel (powerpoint commenté, courte vidéo dans laquelle des membres de l’équipe sont filmés, photos commentées, etc).</w:t>
      </w:r>
    </w:p>
    <w:p>
      <w:pPr>
        <w:pStyle w:val="ListParagraph"/>
        <w:numPr>
          <w:ilvl w:val="0"/>
          <w:numId w:val="2"/>
        </w:numPr>
        <w:rPr>
          <w:b/>
          <w:b/>
          <w:bCs/>
        </w:rPr>
      </w:pPr>
      <w:r>
        <w:rPr>
          <w:b/>
          <w:bCs/>
        </w:rPr>
        <w:t>Chaque équipe devra remettre le plan complété au cours précédant l’oral.</w:t>
      </w:r>
    </w:p>
    <w:p>
      <w:pPr>
        <w:pStyle w:val="ListParagraph"/>
        <w:numPr>
          <w:ilvl w:val="0"/>
          <w:numId w:val="2"/>
        </w:numPr>
        <w:rPr>
          <w:b/>
          <w:b/>
          <w:bCs/>
        </w:rPr>
      </w:pPr>
      <w:r>
        <w:rPr>
          <w:b/>
          <w:bCs/>
        </w:rPr>
        <w:t xml:space="preserve">Une absence au cours 13B causera votre retrait de l’équipe dont vous faisiez partie et vous devrez faire votre oral seul.e. </w:t>
      </w:r>
    </w:p>
    <w:p>
      <w:pPr>
        <w:pStyle w:val="Normal"/>
        <w:rPr>
          <w:b/>
          <w:b/>
          <w:bCs/>
        </w:rPr>
      </w:pPr>
      <w:r>
        <w:rPr>
          <w:b/>
          <w:bCs/>
        </w:rPr>
      </w:r>
    </w:p>
    <w:p>
      <w:pPr>
        <w:pStyle w:val="Normal"/>
        <w:rPr>
          <w:b/>
          <w:b/>
          <w:bCs/>
        </w:rPr>
      </w:pPr>
      <w:r>
        <w:rPr>
          <w:b/>
          <w:bCs/>
        </w:rPr>
        <w:t>Avertissements :</w:t>
      </w:r>
    </w:p>
    <w:p>
      <w:pPr>
        <w:pStyle w:val="ListParagraph"/>
        <w:numPr>
          <w:ilvl w:val="0"/>
          <w:numId w:val="3"/>
        </w:numPr>
        <w:rPr>
          <w:b/>
          <w:b/>
          <w:bCs/>
        </w:rPr>
      </w:pPr>
      <w:r>
        <w:rPr>
          <w:b/>
          <w:bCs/>
        </w:rPr>
        <w:t>Comme pour toute évaluation dans le cadre d’un cours de littérature, vous devrez faire attention à ne pas glisser dans l’opinion ou dans les réflexions sur des idées vagues (l’histoire de l’humanité et compagnie). Assurez-vous de tout relier à un élément littéraire ou culturel ou à des événements historiques précis afin de faire preuve de l’acquisition des compétences demandées pour le cours. Ceci dit, vous NE DEVEZ PAS faire une dissertation.</w:t>
      </w:r>
    </w:p>
    <w:p>
      <w:pPr>
        <w:pStyle w:val="ListParagraph"/>
        <w:numPr>
          <w:ilvl w:val="0"/>
          <w:numId w:val="3"/>
        </w:numPr>
        <w:rPr>
          <w:b/>
          <w:b/>
          <w:bCs/>
        </w:rPr>
      </w:pPr>
      <w:r>
        <w:rPr>
          <w:b/>
          <w:bCs/>
        </w:rPr>
        <w:t xml:space="preserve">Bien que l’évaluation se prépare en équipe, vous serez évalué.es de façon individuelle. </w:t>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jc w:val="center"/>
        <w:rPr>
          <w:b/>
          <w:b/>
          <w:bCs/>
        </w:rPr>
      </w:pPr>
      <w:r>
        <w:rPr>
          <w:b/>
          <w:bCs/>
        </w:rPr>
        <w:t xml:space="preserve">Plan pour l’oral </w:t>
      </w:r>
    </w:p>
    <w:tbl>
      <w:tblPr>
        <w:tblStyle w:val="Grilledutableau"/>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pacing w:lineRule="auto" w:line="240" w:before="0" w:after="0"/>
              <w:jc w:val="left"/>
              <w:rPr>
                <w:b/>
                <w:b/>
                <w:bCs/>
              </w:rPr>
            </w:pPr>
            <w:r>
              <w:rPr>
                <w:rFonts w:eastAsia="Calibri" w:cs="Arial"/>
                <w:b/>
                <w:bCs/>
                <w:kern w:val="0"/>
                <w:sz w:val="22"/>
                <w:szCs w:val="22"/>
                <w:highlight w:val="yellow"/>
                <w:lang w:val="fr-CA" w:eastAsia="en-US" w:bidi="ar-SA"/>
              </w:rPr>
              <w:t>Présentation du sujet et de votre présentation (présenter également les membres de l’équipe)</w:t>
            </w:r>
          </w:p>
          <w:p>
            <w:pPr>
              <w:pStyle w:val="Normal"/>
              <w:widowControl/>
              <w:spacing w:lineRule="auto" w:line="240" w:before="0" w:after="0"/>
              <w:jc w:val="left"/>
              <w:rPr>
                <w:b/>
                <w:b/>
                <w:bCs/>
              </w:rPr>
            </w:pPr>
            <w:r>
              <w:rPr>
                <w:rFonts w:eastAsia="Calibri" w:cs="Arial"/>
                <w:b/>
                <w:bCs/>
                <w:kern w:val="0"/>
                <w:sz w:val="22"/>
                <w:szCs w:val="22"/>
                <w:lang w:val="fr-CA" w:eastAsia="en-US" w:bidi="ar-SA"/>
              </w:rPr>
              <w:t>Similitudes entre Huis clos et Le dieu du carnage. Par : Chris, Anca, Cassandra et Johanne.</w:t>
            </w:r>
          </w:p>
        </w:tc>
      </w:tr>
      <w:tr>
        <w:trPr/>
        <w:tc>
          <w:tcPr>
            <w:tcW w:w="9350" w:type="dxa"/>
            <w:tcBorders/>
          </w:tcPr>
          <w:p>
            <w:pPr>
              <w:pStyle w:val="Normal"/>
              <w:widowControl/>
              <w:spacing w:lineRule="auto" w:line="240" w:before="0" w:after="0"/>
              <w:jc w:val="left"/>
              <w:rPr>
                <w:b/>
                <w:b/>
                <w:bCs/>
              </w:rPr>
            </w:pPr>
            <w:r>
              <w:rPr>
                <w:rFonts w:eastAsia="Calibri" w:cs="Arial"/>
                <w:b/>
                <w:bCs/>
                <w:kern w:val="0"/>
                <w:sz w:val="22"/>
                <w:szCs w:val="22"/>
                <w:lang w:val="fr-CA" w:eastAsia="en-US" w:bidi="ar-SA"/>
              </w:rPr>
              <w:t>Approfondissement du sujet</w:t>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numPr>
                <w:ilvl w:val="0"/>
                <w:numId w:val="6"/>
              </w:numPr>
              <w:spacing w:lineRule="auto" w:line="240" w:before="0" w:after="0"/>
              <w:jc w:val="left"/>
              <w:rPr>
                <w:b/>
                <w:b/>
                <w:bCs/>
              </w:rPr>
            </w:pPr>
            <w:r>
              <w:rPr>
                <w:rFonts w:eastAsia="Calibri" w:cs="Arial"/>
                <w:b/>
                <w:bCs/>
                <w:kern w:val="0"/>
                <w:sz w:val="22"/>
                <w:szCs w:val="22"/>
                <w:lang w:val="fr-CA" w:eastAsia="en-US" w:bidi="ar-SA"/>
              </w:rPr>
              <w:t xml:space="preserve">Pour un sujet portant sur plusieurs œuvres </w:t>
            </w:r>
          </w:p>
          <w:p>
            <w:pPr>
              <w:pStyle w:val="Normal"/>
              <w:widowControl/>
              <w:numPr>
                <w:ilvl w:val="0"/>
                <w:numId w:val="7"/>
              </w:numPr>
              <w:spacing w:lineRule="auto" w:line="240" w:before="0" w:after="0"/>
              <w:jc w:val="left"/>
              <w:rPr>
                <w:b/>
                <w:b/>
                <w:bCs/>
              </w:rPr>
            </w:pPr>
            <w:r>
              <w:rPr>
                <w:rFonts w:eastAsia="Calibri" w:cs="Arial"/>
                <w:b/>
                <w:bCs/>
                <w:kern w:val="0"/>
                <w:sz w:val="22"/>
                <w:szCs w:val="22"/>
                <w:lang w:val="fr-CA" w:eastAsia="en-US" w:bidi="ar-SA"/>
              </w:rPr>
              <w:t>Trouver des éléments en commun et relever les nuances (</w:t>
            </w:r>
            <w:r>
              <w:rPr>
                <w:rFonts w:eastAsia="Calibri" w:cs="Arial"/>
                <w:b/>
                <w:bCs/>
                <w:color w:val="2A6099"/>
                <w:kern w:val="0"/>
                <w:sz w:val="22"/>
                <w:szCs w:val="22"/>
                <w:lang w:val="fr-CA" w:eastAsia="en-US" w:bidi="ar-SA"/>
              </w:rPr>
              <w:t>thème traité différemment,</w:t>
            </w:r>
            <w:r>
              <w:rPr>
                <w:rFonts w:eastAsia="Calibri" w:cs="Arial"/>
                <w:b/>
                <w:bCs/>
                <w:kern w:val="0"/>
                <w:sz w:val="22"/>
                <w:szCs w:val="22"/>
                <w:lang w:val="fr-CA" w:eastAsia="en-US" w:bidi="ar-SA"/>
              </w:rPr>
              <w:t xml:space="preserve"> personnages avec des caractéristiques similaires, appartenance au même courant littéraire mais caractéristiques différentes, etc);</w:t>
            </w:r>
          </w:p>
          <w:p>
            <w:pPr>
              <w:pStyle w:val="Normal"/>
              <w:widowControl/>
              <w:numPr>
                <w:ilvl w:val="0"/>
                <w:numId w:val="7"/>
              </w:numPr>
              <w:spacing w:lineRule="auto" w:line="240" w:before="0" w:after="0"/>
              <w:jc w:val="left"/>
              <w:rPr>
                <w:rFonts w:ascii="Calibri" w:hAnsi="Calibri" w:eastAsia="Calibri" w:cs="Arial"/>
                <w:color w:val="C9211E"/>
                <w:kern w:val="0"/>
                <w:sz w:val="22"/>
                <w:szCs w:val="22"/>
                <w:lang w:val="fr-CA" w:eastAsia="en-US" w:bidi="ar-SA"/>
              </w:rPr>
            </w:pPr>
            <w:r>
              <w:rPr>
                <w:rFonts w:eastAsia="Calibri" w:cs="Arial"/>
                <w:b/>
                <w:bCs/>
                <w:color w:val="C9211E"/>
                <w:kern w:val="0"/>
                <w:sz w:val="22"/>
                <w:szCs w:val="22"/>
                <w:lang w:val="fr-CA" w:eastAsia="en-US" w:bidi="ar-SA"/>
              </w:rPr>
              <w:t>Comparer la réception que les œuvres ont eue de la part du public et du milieu culturel;</w:t>
            </w:r>
          </w:p>
          <w:p>
            <w:pPr>
              <w:pStyle w:val="ListParagraph"/>
              <w:numPr>
                <w:ilvl w:val="0"/>
                <w:numId w:val="7"/>
              </w:numPr>
              <w:rPr>
                <w:color w:val="81D41A"/>
              </w:rPr>
            </w:pPr>
            <w:r>
              <w:rPr>
                <w:b/>
                <w:bCs/>
                <w:color w:val="81D41A"/>
              </w:rPr>
              <w:t>Le contexte sociohistorique</w:t>
            </w:r>
          </w:p>
          <w:p>
            <w:pPr>
              <w:pStyle w:val="Normal"/>
              <w:widowControl/>
              <w:numPr>
                <w:ilvl w:val="0"/>
                <w:numId w:val="7"/>
              </w:numPr>
              <w:spacing w:lineRule="auto" w:line="240" w:before="0" w:after="0"/>
              <w:jc w:val="left"/>
              <w:rPr>
                <w:b/>
                <w:b/>
                <w:bCs/>
              </w:rPr>
            </w:pPr>
            <w:r>
              <w:rPr>
                <w:rFonts w:eastAsia="Calibri" w:cs="Arial"/>
                <w:b/>
                <w:bCs/>
                <w:kern w:val="0"/>
                <w:sz w:val="22"/>
                <w:szCs w:val="22"/>
                <w:lang w:val="fr-CA" w:eastAsia="en-US" w:bidi="ar-SA"/>
              </w:rPr>
              <w:t>Cherch</w:t>
            </w:r>
            <w:r>
              <w:rPr>
                <w:rFonts w:eastAsia="Calibri" w:cs="Arial"/>
                <w:b/>
                <w:bCs/>
                <w:kern w:val="0"/>
                <w:sz w:val="22"/>
                <w:szCs w:val="22"/>
                <w:lang w:val="fr-CA" w:eastAsia="en-US" w:bidi="ar-SA"/>
              </w:rPr>
              <w:t>e</w:t>
            </w:r>
            <w:r>
              <w:rPr>
                <w:rFonts w:eastAsia="Calibri" w:cs="Arial"/>
                <w:b/>
                <w:bCs/>
                <w:kern w:val="0"/>
                <w:sz w:val="22"/>
                <w:szCs w:val="22"/>
                <w:lang w:val="fr-CA" w:eastAsia="en-US" w:bidi="ar-SA"/>
              </w:rPr>
              <w:t>r des influences, des sources d’inspirations communes.</w:t>
            </w:r>
          </w:p>
          <w:p>
            <w:pPr>
              <w:pStyle w:val="Normal"/>
              <w:widowControl/>
              <w:spacing w:lineRule="auto" w:line="240" w:before="0" w:after="0"/>
              <w:ind w:left="1800" w:hanging="0"/>
              <w:jc w:val="left"/>
              <w:rPr>
                <w:b/>
                <w:b/>
                <w:bCs/>
                <w:u w:val="single"/>
              </w:rPr>
            </w:pPr>
            <w:r>
              <w:rPr>
                <w:rFonts w:eastAsia="Calibri" w:cs="Arial"/>
                <w:b/>
                <w:bCs/>
                <w:kern w:val="0"/>
                <w:sz w:val="22"/>
                <w:szCs w:val="22"/>
                <w:u w:val="single"/>
                <w:lang w:val="fr-CA" w:eastAsia="en-US" w:bidi="ar-SA"/>
              </w:rPr>
            </w:r>
          </w:p>
          <w:p>
            <w:pPr>
              <w:pStyle w:val="Normal"/>
              <w:widowControl/>
              <w:spacing w:lineRule="auto" w:line="240" w:before="0" w:after="0"/>
              <w:ind w:left="1800" w:hanging="0"/>
              <w:jc w:val="left"/>
              <w:rPr>
                <w:rFonts w:ascii="Calibri" w:hAnsi="Calibri" w:eastAsia="Calibri" w:cs="Arial"/>
                <w:color w:val="C9211E"/>
                <w:kern w:val="0"/>
                <w:sz w:val="22"/>
                <w:szCs w:val="22"/>
                <w:lang w:val="fr-CA" w:eastAsia="en-US" w:bidi="ar-SA"/>
              </w:rPr>
            </w:pPr>
            <w:r>
              <w:rPr>
                <w:rFonts w:eastAsia="Calibri" w:cs="Arial"/>
                <w:b/>
                <w:bCs/>
                <w:color w:val="C9211E"/>
                <w:kern w:val="0"/>
                <w:sz w:val="22"/>
                <w:szCs w:val="22"/>
                <w:u w:val="single"/>
                <w:lang w:val="fr-CA" w:eastAsia="en-US" w:bidi="ar-SA"/>
              </w:rPr>
              <w:t xml:space="preserve">Huis Clos : </w:t>
            </w:r>
            <w:r>
              <w:rPr>
                <w:rFonts w:eastAsia="Calibri" w:cs="Arial"/>
                <w:color w:val="C9211E"/>
                <w:kern w:val="0"/>
                <w:sz w:val="22"/>
                <w:szCs w:val="22"/>
                <w:lang w:val="fr-CA" w:eastAsia="en-US" w:bidi="ar-SA"/>
              </w:rPr>
              <w:t xml:space="preserve">Les critiques ont été défavorables et partagées au début. Malgré le fait que l’auteur pensait avoir ecrit une piece humoristique.  Le message philosophique de l’œuvre était difficile à suivre et trop complexe. Avec le temps l’œuvre à connu un grand succès. </w:t>
            </w:r>
          </w:p>
          <w:p>
            <w:pPr>
              <w:pStyle w:val="Normal"/>
              <w:widowControl/>
              <w:spacing w:lineRule="auto" w:line="240" w:before="0" w:after="0"/>
              <w:ind w:left="1800" w:hanging="0"/>
              <w:jc w:val="left"/>
              <w:rPr>
                <w:rFonts w:ascii="Calibri" w:hAnsi="Calibri" w:eastAsia="Calibri" w:cs="Arial"/>
                <w:color w:val="C9211E"/>
                <w:kern w:val="0"/>
                <w:sz w:val="22"/>
                <w:szCs w:val="22"/>
                <w:lang w:val="fr-CA" w:eastAsia="en-US" w:bidi="ar-SA"/>
              </w:rPr>
            </w:pPr>
            <w:r>
              <w:rPr>
                <w:rFonts w:eastAsia="Calibri" w:cs="Arial"/>
                <w:color w:val="C9211E"/>
                <w:kern w:val="0"/>
                <w:sz w:val="22"/>
                <w:szCs w:val="22"/>
                <w:lang w:val="fr-CA" w:eastAsia="en-US" w:bidi="ar-SA"/>
              </w:rPr>
              <w:t>L’essance du message</w:t>
            </w:r>
          </w:p>
          <w:p>
            <w:pPr>
              <w:pStyle w:val="Normal"/>
              <w:widowControl/>
              <w:spacing w:lineRule="auto" w:line="240" w:before="0" w:after="0"/>
              <w:ind w:left="1800" w:hanging="0"/>
              <w:jc w:val="left"/>
              <w:rPr>
                <w:rFonts w:ascii="Calibri" w:hAnsi="Calibri" w:eastAsia="Calibri" w:cs="Arial"/>
                <w:b/>
                <w:b/>
                <w:bCs/>
                <w:color w:val="C9211E"/>
                <w:kern w:val="0"/>
                <w:sz w:val="22"/>
                <w:szCs w:val="22"/>
                <w:u w:val="single"/>
                <w:lang w:val="fr-CA" w:eastAsia="en-US" w:bidi="ar-SA"/>
              </w:rPr>
            </w:pPr>
            <w:r>
              <w:rPr>
                <w:rFonts w:eastAsia="Calibri" w:cs="Arial"/>
                <w:b/>
                <w:bCs/>
                <w:color w:val="C9211E"/>
                <w:kern w:val="0"/>
                <w:sz w:val="22"/>
                <w:szCs w:val="22"/>
                <w:u w:val="single"/>
                <w:lang w:val="fr-CA" w:eastAsia="en-US" w:bidi="ar-SA"/>
              </w:rPr>
            </w:r>
          </w:p>
          <w:p>
            <w:pPr>
              <w:pStyle w:val="Normal"/>
              <w:widowControl/>
              <w:spacing w:lineRule="auto" w:line="240" w:before="0" w:after="0"/>
              <w:ind w:left="1800" w:hanging="0"/>
              <w:jc w:val="left"/>
              <w:rPr>
                <w:rFonts w:ascii="Calibri" w:hAnsi="Calibri" w:eastAsia="Calibri" w:cs="Arial"/>
                <w:kern w:val="0"/>
                <w:sz w:val="22"/>
                <w:szCs w:val="22"/>
                <w:lang w:val="fr-CA" w:eastAsia="en-US" w:bidi="ar-SA"/>
              </w:rPr>
            </w:pPr>
            <w:r>
              <w:rPr>
                <w:rFonts w:eastAsia="Calibri" w:cs="Arial"/>
                <w:b/>
                <w:bCs/>
                <w:color w:val="C9211E"/>
                <w:kern w:val="0"/>
                <w:sz w:val="22"/>
                <w:szCs w:val="22"/>
                <w:u w:val="single"/>
                <w:lang w:val="fr-CA" w:eastAsia="en-US" w:bidi="ar-SA"/>
              </w:rPr>
              <w:t>Dieu du carnage </w:t>
            </w:r>
            <w:r>
              <w:rPr>
                <w:rFonts w:eastAsia="Calibri" w:cs="Arial"/>
                <w:color w:val="C9211E"/>
                <w:kern w:val="0"/>
                <w:sz w:val="22"/>
                <w:szCs w:val="22"/>
                <w:lang w:val="fr-CA" w:eastAsia="en-US" w:bidi="ar-SA"/>
              </w:rPr>
              <w:t xml:space="preserve">: Les critiques ont été favorables du début car ton humoristique, satire de la societe donc l’essentiel est plus facilement assimilable par le public . Certains critiques ont trouvé l’œuvre supperficiele car elle est orienté sur les relations </w:t>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rFonts w:ascii="Calibri" w:hAnsi="Calibri" w:eastAsia="Calibri" w:cs="Arial"/>
                <w:color w:val="81D41A"/>
                <w:kern w:val="0"/>
                <w:sz w:val="22"/>
                <w:szCs w:val="22"/>
                <w:lang w:val="fr-CA" w:eastAsia="en-US" w:bidi="ar-SA"/>
              </w:rPr>
            </w:pPr>
            <w:r>
              <w:rPr>
                <w:rFonts w:eastAsia="Calibri" w:cs="Arial"/>
                <w:b/>
                <w:bCs/>
                <w:color w:val="81D41A"/>
                <w:kern w:val="0"/>
                <w:sz w:val="22"/>
                <w:szCs w:val="22"/>
                <w:highlight w:val="yellow"/>
                <w:lang w:val="fr-CA" w:eastAsia="en-US" w:bidi="ar-SA"/>
              </w:rPr>
              <w:t>Le contexte sociohistorique Huis Clos :</w:t>
            </w:r>
          </w:p>
          <w:p>
            <w:pPr>
              <w:pStyle w:val="Normal"/>
              <w:widowControl/>
              <w:spacing w:lineRule="auto" w:line="240" w:before="0" w:after="0"/>
              <w:jc w:val="left"/>
              <w:rPr>
                <w:rFonts w:ascii="Calibri" w:hAnsi="Calibri" w:eastAsia="Calibri" w:cs="Arial"/>
                <w:color w:val="81D41A"/>
                <w:kern w:val="0"/>
                <w:sz w:val="22"/>
                <w:szCs w:val="22"/>
                <w:lang w:val="fr-CA" w:eastAsia="en-US" w:bidi="ar-SA"/>
              </w:rPr>
            </w:pPr>
            <w:r>
              <w:rPr>
                <w:rFonts w:eastAsia="Calibri" w:cs="Arial"/>
                <w:b/>
                <w:bCs/>
                <w:color w:val="81D41A"/>
                <w:kern w:val="0"/>
                <w:sz w:val="22"/>
                <w:szCs w:val="22"/>
                <w:lang w:val="fr-CA" w:eastAsia="en-US" w:bidi="ar-SA"/>
              </w:rPr>
              <w:t xml:space="preserve">1943 L’Europe en guerre et la France occupé par les Nazis donc aborde les sujets existentialistes tel que la liberté la responsabilité la nature humaine dans un contexte de crise et d’incertitude. </w:t>
            </w:r>
          </w:p>
          <w:p>
            <w:pPr>
              <w:pStyle w:val="Normal"/>
              <w:widowControl/>
              <w:spacing w:lineRule="auto" w:line="240" w:before="0" w:after="0"/>
              <w:jc w:val="left"/>
              <w:rPr>
                <w:rFonts w:ascii="Calibri" w:hAnsi="Calibri" w:eastAsia="Calibri" w:cs="Arial"/>
                <w:b/>
                <w:b/>
                <w:bCs/>
                <w:color w:val="81D41A"/>
                <w:kern w:val="0"/>
                <w:sz w:val="22"/>
                <w:szCs w:val="22"/>
                <w:lang w:val="fr-CA" w:eastAsia="en-US" w:bidi="ar-SA"/>
              </w:rPr>
            </w:pPr>
            <w:r>
              <w:rPr>
                <w:rFonts w:eastAsia="Calibri" w:cs="Arial"/>
                <w:b/>
                <w:bCs/>
                <w:color w:val="81D41A"/>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u w:val="single"/>
              </w:rPr>
            </w:pPr>
            <w:r>
              <w:rPr>
                <w:rFonts w:eastAsia="Calibri" w:cs="Arial"/>
                <w:b/>
                <w:bCs/>
                <w:kern w:val="0"/>
                <w:sz w:val="22"/>
                <w:szCs w:val="22"/>
                <w:u w:val="single"/>
                <w:lang w:val="fr-CA" w:eastAsia="en-US" w:bidi="ar-SA"/>
              </w:rPr>
              <w:t>Trouver des éléments en commun et relever les nuances (thème traité différemment, personnages avec des caractéristiques similaires, appartenance au même courant littéraire mais caractéristiques différentes, etc);</w:t>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Le thème : L’existentialisme et rapport à l’autrui-Disputes- Masculinité toxique- La réconciliation.</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A mesure que l’histoire avance les personnages révèlent leurs vraies personnalités. Tout en se confrontant à leurs propre nature humaine. </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Les personnages se battent pour avoir le contrôle sur la situation. </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Ça se passe dans un endroit à huis clos. Donc les personnages sont affrontées aux autres et a eux même.</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Les deux œuvres critiquent la société moderne et les valeurs qu’elle promeut la superficialité de la vie quotidienne et l’hypocrisie. </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La communication- les relations de couple la nature humaine et les relations parentale. </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Les malentendus pouvant surgir durant les relations. </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Le rapport de force entre les 2 parents enfants- hommes femmes. </w:t>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rFonts w:ascii="Calibri" w:hAnsi="Calibri" w:eastAsia="Calibri" w:cs="Arial"/>
                <w:color w:val="81D41A"/>
                <w:kern w:val="0"/>
                <w:sz w:val="22"/>
                <w:szCs w:val="22"/>
                <w:lang w:val="fr-CA" w:eastAsia="en-US" w:bidi="ar-SA"/>
              </w:rPr>
            </w:pPr>
            <w:r>
              <w:rPr>
                <w:rFonts w:eastAsia="Calibri" w:cs="Arial"/>
                <w:b/>
                <w:bCs/>
                <w:color w:val="81D41A"/>
                <w:kern w:val="0"/>
                <w:sz w:val="22"/>
                <w:szCs w:val="22"/>
                <w:highlight w:val="yellow"/>
                <w:lang w:val="fr-CA" w:eastAsia="en-US" w:bidi="ar-SA"/>
              </w:rPr>
              <w:t>Le contexte sociohistorique Le Dieu du carnage :</w:t>
            </w:r>
          </w:p>
          <w:p>
            <w:pPr>
              <w:pStyle w:val="Normal"/>
              <w:widowControl/>
              <w:spacing w:lineRule="auto" w:line="240" w:before="0" w:after="0"/>
              <w:jc w:val="left"/>
              <w:rPr>
                <w:rFonts w:ascii="Calibri" w:hAnsi="Calibri" w:eastAsia="Calibri" w:cs="Arial"/>
                <w:color w:val="81D41A"/>
                <w:kern w:val="0"/>
                <w:sz w:val="22"/>
                <w:szCs w:val="22"/>
                <w:lang w:val="fr-CA" w:eastAsia="en-US" w:bidi="ar-SA"/>
              </w:rPr>
            </w:pPr>
            <w:r>
              <w:rPr>
                <w:rFonts w:eastAsia="Calibri" w:cs="Arial"/>
                <w:b/>
                <w:bCs/>
                <w:color w:val="81D41A"/>
                <w:kern w:val="0"/>
                <w:sz w:val="22"/>
                <w:szCs w:val="22"/>
                <w:lang w:val="fr-CA" w:eastAsia="en-US" w:bidi="ar-SA"/>
              </w:rPr>
              <w:t>En 2006 dans le contexte ou le monde occidental était était confronte a des défis économiques politiques et sociaux. Certaines critiques ont dit que c’est superficiel car ne mettent pas en les normes valeurs sociales et la structure du povoir</w:t>
            </w:r>
          </w:p>
          <w:p>
            <w:pPr>
              <w:pStyle w:val="Normal"/>
              <w:widowControl/>
              <w:spacing w:lineRule="auto" w:line="240" w:before="0" w:after="0"/>
              <w:jc w:val="left"/>
              <w:rPr>
                <w:rFonts w:ascii="Calibri" w:hAnsi="Calibri" w:eastAsia="Calibri" w:cs="Arial"/>
                <w:color w:val="81D41A"/>
                <w:kern w:val="0"/>
                <w:sz w:val="22"/>
                <w:szCs w:val="22"/>
                <w:lang w:val="fr-CA" w:eastAsia="en-US" w:bidi="ar-SA"/>
              </w:rPr>
            </w:pPr>
            <w:r>
              <w:rPr>
                <w:rFonts w:eastAsia="Calibri" w:cs="Arial"/>
                <w:b/>
                <w:bCs/>
                <w:color w:val="81D41A"/>
                <w:kern w:val="0"/>
                <w:sz w:val="22"/>
                <w:szCs w:val="22"/>
                <w:lang w:val="fr-CA" w:eastAsia="en-US" w:bidi="ar-SA"/>
              </w:rPr>
              <w:t>La guerre en Iran- Evenements Tours jumelles.</w:t>
            </w:r>
          </w:p>
          <w:p>
            <w:pPr>
              <w:pStyle w:val="Normal"/>
              <w:widowControl/>
              <w:spacing w:lineRule="auto" w:line="240" w:before="0" w:after="0"/>
              <w:jc w:val="left"/>
              <w:rPr>
                <w:rFonts w:ascii="Calibri" w:hAnsi="Calibri" w:eastAsia="Calibri" w:cs="Arial"/>
                <w:b/>
                <w:b/>
                <w:bCs/>
                <w:color w:val="81D41A"/>
                <w:kern w:val="0"/>
                <w:sz w:val="22"/>
                <w:szCs w:val="22"/>
                <w:lang w:val="fr-CA" w:eastAsia="en-US" w:bidi="ar-SA"/>
              </w:rPr>
            </w:pPr>
            <w:r>
              <w:rPr>
                <w:rFonts w:eastAsia="Calibri" w:cs="Arial"/>
                <w:b/>
                <w:bCs/>
                <w:color w:val="81D41A"/>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Le thème Dieu du carnage: L’existentialisme et rapport à l’autrui-Disputes- Masculinité toxique- La réconciliation. A mesure que l’histoire avance les personnages révèlent leurs vraies personnalités.</w:t>
            </w:r>
          </w:p>
          <w:p>
            <w:pPr>
              <w:pStyle w:val="Normal"/>
              <w:widowControl/>
              <w:spacing w:lineRule="auto" w:line="240" w:before="0" w:after="0"/>
              <w:jc w:val="left"/>
              <w:rPr>
                <w:rFonts w:ascii="Calibri" w:hAnsi="Calibri" w:eastAsia="Calibri" w:cs="Arial"/>
                <w:color w:val="2A6099"/>
                <w:kern w:val="0"/>
                <w:sz w:val="22"/>
                <w:szCs w:val="22"/>
                <w:lang w:val="fr-CA" w:eastAsia="en-US" w:bidi="ar-SA"/>
              </w:rPr>
            </w:pPr>
            <w:r>
              <w:rPr>
                <w:rFonts w:eastAsia="Calibri" w:cs="Arial"/>
                <w:b/>
                <w:bCs/>
                <w:color w:val="2A6099"/>
                <w:kern w:val="0"/>
                <w:sz w:val="22"/>
                <w:szCs w:val="22"/>
                <w:lang w:val="fr-CA" w:eastAsia="en-US" w:bidi="ar-SA"/>
              </w:rPr>
              <w:t xml:space="preserve">Critique sociales </w:t>
            </w:r>
          </w:p>
          <w:p>
            <w:pPr>
              <w:pStyle w:val="Normal"/>
              <w:widowControl/>
              <w:spacing w:lineRule="auto" w:line="240" w:before="0" w:after="0"/>
              <w:jc w:val="left"/>
              <w:rPr>
                <w:rFonts w:ascii="Calibri" w:hAnsi="Calibri" w:eastAsia="Calibri" w:cs="Arial"/>
                <w:b/>
                <w:b/>
                <w:bCs/>
                <w:color w:val="2A6099"/>
                <w:kern w:val="0"/>
                <w:sz w:val="22"/>
                <w:szCs w:val="22"/>
                <w:lang w:val="fr-CA" w:eastAsia="en-US" w:bidi="ar-SA"/>
              </w:rPr>
            </w:pPr>
            <w:r>
              <w:rPr>
                <w:rFonts w:eastAsia="Calibri" w:cs="Arial"/>
                <w:b/>
                <w:bCs/>
                <w:color w:val="2A6099"/>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tc>
      </w:tr>
      <w:tr>
        <w:trPr/>
        <w:tc>
          <w:tcPr>
            <w:tcW w:w="9350" w:type="dxa"/>
            <w:tcBorders/>
          </w:tcPr>
          <w:p>
            <w:pPr>
              <w:pStyle w:val="Normal"/>
              <w:widowControl/>
              <w:spacing w:lineRule="auto" w:line="240" w:before="0" w:after="0"/>
              <w:jc w:val="left"/>
              <w:rPr>
                <w:b/>
                <w:b/>
                <w:bCs/>
              </w:rPr>
            </w:pPr>
            <w:r>
              <w:rPr>
                <w:rFonts w:eastAsia="Calibri" w:cs="Arial"/>
                <w:b/>
                <w:bCs/>
                <w:kern w:val="0"/>
                <w:sz w:val="22"/>
                <w:szCs w:val="22"/>
                <w:lang w:val="fr-CA" w:eastAsia="en-US" w:bidi="ar-SA"/>
              </w:rPr>
              <w:t>Présentation des citations et de leur interprétation</w:t>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tc>
      </w:tr>
      <w:tr>
        <w:trPr/>
        <w:tc>
          <w:tcPr>
            <w:tcW w:w="9350" w:type="dxa"/>
            <w:tcBorders/>
          </w:tcPr>
          <w:p>
            <w:pPr>
              <w:pStyle w:val="Normal"/>
              <w:widowControl/>
              <w:spacing w:lineRule="auto" w:line="240" w:before="0" w:after="0"/>
              <w:jc w:val="left"/>
              <w:rPr>
                <w:b/>
                <w:b/>
                <w:bCs/>
              </w:rPr>
            </w:pPr>
            <w:r>
              <w:rPr>
                <w:rFonts w:eastAsia="Calibri" w:cs="Arial"/>
                <w:b/>
                <w:bCs/>
                <w:kern w:val="0"/>
                <w:sz w:val="22"/>
                <w:szCs w:val="22"/>
                <w:lang w:val="fr-CA" w:eastAsia="en-US" w:bidi="ar-SA"/>
              </w:rPr>
              <w:t>Conclusion (retour)</w:t>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p>
            <w:pPr>
              <w:pStyle w:val="Normal"/>
              <w:widowControl/>
              <w:spacing w:lineRule="auto" w:line="240" w:before="0" w:after="0"/>
              <w:jc w:val="left"/>
              <w:rPr>
                <w:b/>
                <w:b/>
                <w:bCs/>
              </w:rPr>
            </w:pPr>
            <w:r>
              <w:rPr>
                <w:rFonts w:eastAsia="Calibri" w:cs="Arial"/>
                <w:b/>
                <w:bCs/>
                <w:kern w:val="0"/>
                <w:sz w:val="22"/>
                <w:szCs w:val="22"/>
                <w:lang w:val="fr-CA" w:eastAsia="en-US" w:bidi="ar-SA"/>
              </w:rPr>
            </w:r>
          </w:p>
        </w:tc>
      </w:tr>
    </w:tbl>
    <w:p>
      <w:pPr>
        <w:pStyle w:val="Normal"/>
        <w:rPr>
          <w:b/>
          <w:b/>
          <w:bCs/>
        </w:rPr>
      </w:pPr>
      <w:r>
        <w:rPr>
          <w:b/>
          <w:bCs/>
        </w:rPr>
      </w:r>
    </w:p>
    <w:p>
      <w:pPr>
        <w:pStyle w:val="Normal"/>
        <w:ind w:left="360" w:hanging="0"/>
        <w:rPr>
          <w:b/>
          <w:b/>
          <w:bCs/>
        </w:rPr>
      </w:pPr>
      <w:r>
        <w:rPr>
          <w:b/>
          <w:bCs/>
        </w:rPr>
      </w:r>
    </w:p>
    <w:p>
      <w:pPr>
        <w:pStyle w:val="Normal"/>
        <w:ind w:left="360" w:hanging="0"/>
        <w:rPr>
          <w:b/>
          <w:b/>
          <w:bCs/>
        </w:rPr>
      </w:pPr>
      <w:r>
        <w:rPr>
          <w:b/>
          <w:bCs/>
        </w:rPr>
        <w:t>Exemples de façon d’approfondir un sujet :</w:t>
      </w:r>
    </w:p>
    <w:p>
      <w:pPr>
        <w:pStyle w:val="Normal"/>
        <w:ind w:left="360" w:hanging="0"/>
        <w:rPr>
          <w:b/>
          <w:b/>
          <w:bCs/>
        </w:rPr>
      </w:pPr>
      <w:r>
        <w:rPr>
          <w:b/>
          <w:bCs/>
        </w:rPr>
      </w:r>
    </w:p>
    <w:p>
      <w:pPr>
        <w:pStyle w:val="Normal"/>
        <w:ind w:left="360" w:hanging="0"/>
        <w:rPr>
          <w:b/>
          <w:b/>
          <w:bCs/>
        </w:rPr>
      </w:pPr>
      <w:r>
        <w:rPr>
          <w:b/>
          <w:bCs/>
        </w:rPr>
      </w:r>
    </w:p>
    <w:p>
      <w:pPr>
        <w:pStyle w:val="ListParagraph"/>
        <w:numPr>
          <w:ilvl w:val="0"/>
          <w:numId w:val="9"/>
        </w:numPr>
        <w:rPr>
          <w:b/>
          <w:b/>
          <w:bCs/>
        </w:rPr>
      </w:pPr>
      <w:r>
        <w:rPr>
          <w:b/>
          <w:bCs/>
        </w:rPr>
        <w:t xml:space="preserve">Pour un sujet portant sur plusieurs œuvres </w:t>
      </w:r>
    </w:p>
    <w:p>
      <w:pPr>
        <w:pStyle w:val="Normal"/>
        <w:rPr>
          <w:b/>
          <w:b/>
          <w:bCs/>
        </w:rPr>
      </w:pPr>
      <w:r>
        <w:rPr>
          <w:b/>
          <w:bCs/>
        </w:rPr>
      </w:r>
    </w:p>
    <w:p>
      <w:pPr>
        <w:pStyle w:val="Normal"/>
        <w:rPr>
          <w:b/>
          <w:b/>
          <w:bCs/>
        </w:rPr>
      </w:pPr>
      <w:r>
        <w:rPr>
          <w:b/>
          <w:bCs/>
        </w:rPr>
      </w:r>
    </w:p>
    <w:p>
      <w:pPr>
        <w:pStyle w:val="Normal"/>
        <w:rPr>
          <w:b/>
          <w:b/>
          <w:bCs/>
        </w:rPr>
      </w:pPr>
      <w:r>
        <w:rPr>
          <w:b/>
          <w:bCs/>
        </w:rPr>
      </w:r>
    </w:p>
    <w:p>
      <w:pPr>
        <w:pStyle w:val="ListParagraph"/>
        <w:numPr>
          <w:ilvl w:val="0"/>
          <w:numId w:val="10"/>
        </w:numPr>
        <w:rPr>
          <w:b/>
          <w:b/>
          <w:bCs/>
        </w:rPr>
      </w:pPr>
      <w:r>
        <w:rPr>
          <w:b/>
          <w:bCs/>
        </w:rPr>
        <w:t>Pour un sujet portant sur un élément dans une seule œuvre</w:t>
      </w:r>
    </w:p>
    <w:p>
      <w:pPr>
        <w:pStyle w:val="ListParagraph"/>
        <w:numPr>
          <w:ilvl w:val="0"/>
          <w:numId w:val="5"/>
        </w:numPr>
        <w:rPr>
          <w:b/>
          <w:b/>
          <w:bCs/>
        </w:rPr>
      </w:pPr>
      <w:r>
        <w:rPr>
          <w:b/>
          <w:bCs/>
        </w:rPr>
        <w:t>Analyser la place que cet élément prend dans l’œuvre entière;</w:t>
      </w:r>
    </w:p>
    <w:p>
      <w:pPr>
        <w:pStyle w:val="ListParagraph"/>
        <w:numPr>
          <w:ilvl w:val="0"/>
          <w:numId w:val="5"/>
        </w:numPr>
        <w:rPr>
          <w:b/>
          <w:b/>
          <w:bCs/>
        </w:rPr>
      </w:pPr>
      <w:r>
        <w:rPr>
          <w:b/>
          <w:bCs/>
        </w:rPr>
        <w:t>Chercher des sources d’inspiration pour cet élément dans le contexte sociohistorique de l’œuvre;</w:t>
      </w:r>
    </w:p>
    <w:p>
      <w:pPr>
        <w:pStyle w:val="ListParagraph"/>
        <w:numPr>
          <w:ilvl w:val="0"/>
          <w:numId w:val="5"/>
        </w:numPr>
        <w:rPr>
          <w:b/>
          <w:b/>
          <w:bCs/>
        </w:rPr>
      </w:pPr>
      <w:r>
        <w:rPr>
          <w:b/>
          <w:bCs/>
        </w:rPr>
        <w:t>Analyser ce que cet élément apporte à l’œuvre (thèmes associés, moments clés dans l’intrigue, etc).</w:t>
      </w:r>
    </w:p>
    <w:p>
      <w:pPr>
        <w:pStyle w:val="Normal"/>
        <w:rPr>
          <w:b/>
          <w:b/>
          <w:bCs/>
        </w:rPr>
      </w:pPr>
      <w:r>
        <w:rPr>
          <w:b/>
          <w:bCs/>
        </w:rPr>
      </w:r>
    </w:p>
    <w:p>
      <w:pPr>
        <w:pStyle w:val="ListParagraph"/>
        <w:spacing w:before="0" w:after="160"/>
        <w:ind w:left="1800" w:hanging="0"/>
        <w:contextualSpacing/>
        <w:rPr>
          <w:b/>
          <w:b/>
          <w:bCs/>
        </w:rPr>
      </w:pPr>
      <w:r>
        <w:rPr/>
      </w:r>
    </w:p>
    <w:sectPr>
      <w:headerReference w:type="default" r:id="rId2"/>
      <w:type w:val="nextPage"/>
      <w:pgSz w:w="12240" w:h="15840"/>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Élisabeth Désourdy</w:t>
      <w:tab/>
      <w:tab/>
      <w:t>Cégep André-Laurendeau</w:t>
    </w:r>
  </w:p>
  <w:p>
    <w:pPr>
      <w:pStyle w:val="Header"/>
      <w:rPr/>
    </w:pPr>
    <w:r>
      <w:rPr/>
      <w:t>Littérature et imaginaire</w:t>
      <w:tab/>
      <w:tab/>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1800" w:hanging="360"/>
      </w:pPr>
      <w:rPr>
        <w:rFonts w:ascii="Wingdings" w:hAnsi="Wingdings" w:cs="Wingdings"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Jc w:val="left"/>
      <w:pPr>
        <w:tabs>
          <w:tab w:val="num" w:pos="0"/>
        </w:tabs>
        <w:ind w:left="1800" w:hanging="360"/>
      </w:pPr>
      <w:rPr>
        <w:rFonts w:ascii="Wingdings" w:hAnsi="Wingdings" w:cs="Wingdings"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num>
  <w:num w:numId="10">
    <w:abstractNumId w:val="6"/>
  </w:num>
</w:numbering>
</file>

<file path=word/settings.xml><?xml version="1.0" encoding="utf-8"?>
<w:settings xmlns:w="http://schemas.openxmlformats.org/wordprocessingml/2006/main">
  <w:zoom w:percent="119"/>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n-C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fr-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fr-CA" w:eastAsia="en-US" w:bidi="ar-SA"/>
    </w:rPr>
  </w:style>
  <w:style w:type="character" w:styleId="DefaultParagraphFont" w:default="1">
    <w:name w:val="Default Paragraph Font"/>
    <w:uiPriority w:val="1"/>
    <w:unhideWhenUsed/>
    <w:qFormat/>
    <w:rPr/>
  </w:style>
  <w:style w:type="character" w:styleId="EntteCar" w:customStyle="1">
    <w:name w:val="En-tête Car"/>
    <w:basedOn w:val="DefaultParagraphFont"/>
    <w:link w:val="Header"/>
    <w:uiPriority w:val="99"/>
    <w:qFormat/>
    <w:rsid w:val="00cf6873"/>
    <w:rPr/>
  </w:style>
  <w:style w:type="character" w:styleId="PieddepageCar" w:customStyle="1">
    <w:name w:val="Pied de page Car"/>
    <w:basedOn w:val="DefaultParagraphFont"/>
    <w:link w:val="Footer"/>
    <w:uiPriority w:val="99"/>
    <w:qFormat/>
    <w:rsid w:val="00cf687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cf6873"/>
    <w:pPr>
      <w:tabs>
        <w:tab w:val="clear" w:pos="708"/>
        <w:tab w:val="center" w:pos="4680" w:leader="none"/>
        <w:tab w:val="right" w:pos="9360" w:leader="none"/>
      </w:tabs>
      <w:spacing w:lineRule="auto" w:line="240" w:before="0" w:after="0"/>
    </w:pPr>
    <w:rPr/>
  </w:style>
  <w:style w:type="paragraph" w:styleId="Footer">
    <w:name w:val="Footer"/>
    <w:basedOn w:val="Normal"/>
    <w:link w:val="PieddepageCar"/>
    <w:uiPriority w:val="99"/>
    <w:unhideWhenUsed/>
    <w:rsid w:val="00cf6873"/>
    <w:pPr>
      <w:tabs>
        <w:tab w:val="clear" w:pos="708"/>
        <w:tab w:val="center" w:pos="4680" w:leader="none"/>
        <w:tab w:val="right" w:pos="9360" w:leader="none"/>
      </w:tabs>
      <w:spacing w:lineRule="auto" w:line="240" w:before="0" w:after="0"/>
    </w:pPr>
    <w:rPr/>
  </w:style>
  <w:style w:type="paragraph" w:styleId="ListParagraph">
    <w:name w:val="List Paragraph"/>
    <w:basedOn w:val="Normal"/>
    <w:uiPriority w:val="34"/>
    <w:qFormat/>
    <w:rsid w:val="00cf6873"/>
    <w:pPr>
      <w:spacing w:before="0" w:after="160"/>
      <w:ind w:left="720" w:hanging="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351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ages>5</Pages>
  <Words>888</Words>
  <Characters>4708</Characters>
  <CharactersWithSpaces>5524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2023-04-20T16:19:00Z</dcterms:created>
  <dc:creator>Élisabeth Désourdy</dc:creator>
  <dc:description/>
  <dc:language>en-US</dc:language>
  <cp:lastModifiedBy/>
  <dcterms:modified xsi:type="dcterms:W3CDTF">2023-04-26T20:38:12Z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