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EEE84" w14:textId="337312F7" w:rsidR="00E74F1E" w:rsidRPr="00884059" w:rsidRDefault="00884059">
      <w:pPr>
        <w:rPr>
          <w:sz w:val="28"/>
          <w:szCs w:val="28"/>
          <w:lang w:val="en-CA"/>
        </w:rPr>
      </w:pPr>
      <w:proofErr w:type="spellStart"/>
      <w:r w:rsidRPr="00884059">
        <w:rPr>
          <w:sz w:val="32"/>
          <w:szCs w:val="32"/>
          <w:lang w:val="en-CA"/>
        </w:rPr>
        <w:t>Exercice</w:t>
      </w:r>
      <w:proofErr w:type="spellEnd"/>
      <w:r w:rsidRPr="00884059">
        <w:rPr>
          <w:sz w:val="32"/>
          <w:szCs w:val="32"/>
          <w:lang w:val="en-CA"/>
        </w:rPr>
        <w:t xml:space="preserve"> </w:t>
      </w:r>
      <w:proofErr w:type="spellStart"/>
      <w:r w:rsidRPr="00884059">
        <w:rPr>
          <w:sz w:val="32"/>
          <w:szCs w:val="32"/>
          <w:lang w:val="en-CA"/>
        </w:rPr>
        <w:t>évalué</w:t>
      </w:r>
      <w:proofErr w:type="spellEnd"/>
      <w:r w:rsidRPr="00884059">
        <w:rPr>
          <w:sz w:val="32"/>
          <w:szCs w:val="32"/>
          <w:lang w:val="en-CA"/>
        </w:rPr>
        <w:t xml:space="preserve"> #2</w:t>
      </w:r>
    </w:p>
    <w:p w14:paraId="60AB4D58" w14:textId="5497BF34" w:rsidR="00884059" w:rsidRPr="00884059" w:rsidRDefault="00884059">
      <w:pPr>
        <w:rPr>
          <w:sz w:val="28"/>
          <w:szCs w:val="28"/>
          <w:lang w:val="fr-CA"/>
        </w:rPr>
      </w:pPr>
      <w:r w:rsidRPr="00884059">
        <w:rPr>
          <w:sz w:val="28"/>
          <w:szCs w:val="28"/>
          <w:lang w:val="fr-CA"/>
        </w:rPr>
        <w:t>Christopher-William Archambault-Bouffard</w:t>
      </w:r>
    </w:p>
    <w:p w14:paraId="5C8F0182" w14:textId="7539CD56" w:rsidR="00884059" w:rsidRDefault="00884059">
      <w:pPr>
        <w:rPr>
          <w:sz w:val="32"/>
          <w:szCs w:val="32"/>
          <w:lang w:val="fr-CA"/>
        </w:rPr>
      </w:pPr>
    </w:p>
    <w:p w14:paraId="6B87F968" w14:textId="781CC5B6" w:rsidR="00B21BB7" w:rsidRPr="00B21BB7" w:rsidRDefault="00B21BB7" w:rsidP="00B21BB7">
      <w:pPr>
        <w:pStyle w:val="Paragraphedeliste"/>
        <w:numPr>
          <w:ilvl w:val="0"/>
          <w:numId w:val="1"/>
        </w:numPr>
        <w:rPr>
          <w:sz w:val="28"/>
          <w:szCs w:val="28"/>
          <w:lang w:val="fr-CA"/>
        </w:rPr>
      </w:pPr>
      <w:r w:rsidRPr="00B21BB7">
        <w:rPr>
          <w:sz w:val="28"/>
          <w:szCs w:val="28"/>
          <w:lang w:val="fr-CA"/>
        </w:rPr>
        <w:t xml:space="preserve">Selon le calcul d’utilité qui évalue les plaisirs sur la douleur qui peut être occasionnée aux individus qui pourraient être touchés. Les plaisirs qui sont : </w:t>
      </w:r>
      <w:proofErr w:type="spellStart"/>
      <w:r w:rsidRPr="00B21BB7">
        <w:rPr>
          <w:sz w:val="28"/>
          <w:szCs w:val="28"/>
          <w:lang w:val="fr-CA"/>
        </w:rPr>
        <w:t>Ezzy</w:t>
      </w:r>
      <w:proofErr w:type="spellEnd"/>
      <w:r w:rsidRPr="00B21BB7">
        <w:rPr>
          <w:sz w:val="28"/>
          <w:szCs w:val="28"/>
          <w:lang w:val="fr-CA"/>
        </w:rPr>
        <w:t xml:space="preserve"> qui peut avoir de l’affection, Mme Dorothy </w:t>
      </w:r>
      <w:proofErr w:type="spellStart"/>
      <w:r w:rsidRPr="00B21BB7">
        <w:rPr>
          <w:sz w:val="28"/>
          <w:szCs w:val="28"/>
          <w:lang w:val="fr-CA"/>
        </w:rPr>
        <w:t>Coulombe</w:t>
      </w:r>
      <w:proofErr w:type="spellEnd"/>
      <w:r w:rsidRPr="00B21BB7">
        <w:rPr>
          <w:sz w:val="28"/>
          <w:szCs w:val="28"/>
          <w:lang w:val="fr-CA"/>
        </w:rPr>
        <w:t xml:space="preserve"> qui peut avoir de l’affection de son chat, la présence de </w:t>
      </w:r>
      <w:proofErr w:type="spellStart"/>
      <w:r w:rsidRPr="00B21BB7">
        <w:rPr>
          <w:sz w:val="28"/>
          <w:szCs w:val="28"/>
          <w:lang w:val="fr-CA"/>
        </w:rPr>
        <w:t>Ezzy</w:t>
      </w:r>
      <w:proofErr w:type="spellEnd"/>
      <w:r w:rsidRPr="00B21BB7">
        <w:rPr>
          <w:sz w:val="28"/>
          <w:szCs w:val="28"/>
          <w:lang w:val="fr-CA"/>
        </w:rPr>
        <w:t xml:space="preserve"> qui enlève la solitude de Mme Dorothy et sa santé qui se détériore moins si </w:t>
      </w:r>
      <w:proofErr w:type="spellStart"/>
      <w:r w:rsidRPr="00B21BB7">
        <w:rPr>
          <w:sz w:val="28"/>
          <w:szCs w:val="28"/>
          <w:lang w:val="fr-CA"/>
        </w:rPr>
        <w:t>Ezzy</w:t>
      </w:r>
      <w:proofErr w:type="spellEnd"/>
      <w:r w:rsidRPr="00B21BB7">
        <w:rPr>
          <w:sz w:val="28"/>
          <w:szCs w:val="28"/>
          <w:lang w:val="fr-CA"/>
        </w:rPr>
        <w:t xml:space="preserve"> est présent. Cependant, les douleurs qui peuvent être infligées aux autres individus qui seraient dans l’immeuble sont : l’interdiction d’avoir des animaux sur le bail qui ne peut pas faire d’exception sinon tout le monde demanderait, le chat qui peut miauler et potentiellement déranger les voisins. La décision du juge Tannenbaum respecte la vision utilitariste de la morale, car il y a plus de plaisir qui est occasionné que de douleur à autrui et surtout que la santé d’une personne est en jeu. De plus, le choix du juge suit le principe de l’utilitarisme qui doit engendrer le plus de bonheur pour le plus grand nombre de personnes, car Mme Dorothy aura plus de bonheur et personne ne sera affecté vu que son chat reste à l’intérieur.</w:t>
      </w:r>
    </w:p>
    <w:p w14:paraId="1A6061B5" w14:textId="533E7488" w:rsidR="007000D8" w:rsidRPr="007000D8" w:rsidRDefault="00B21BB7" w:rsidP="00B21BB7">
      <w:pPr>
        <w:pStyle w:val="Paragraphedeliste"/>
        <w:numPr>
          <w:ilvl w:val="0"/>
          <w:numId w:val="1"/>
        </w:numPr>
        <w:rPr>
          <w:sz w:val="28"/>
          <w:szCs w:val="28"/>
          <w:lang w:val="fr-CA"/>
        </w:rPr>
      </w:pPr>
      <w:r w:rsidRPr="00B21BB7">
        <w:rPr>
          <w:sz w:val="28"/>
          <w:szCs w:val="28"/>
          <w:lang w:val="fr-CA"/>
        </w:rPr>
        <w:t>La position de Kant vis-à-vis ce cas serait plus en désaccord avec la position du juge Tannenbaum. Elle échoue le test de l’universalisation, car, elle ne respecterait pas la dignité de la personne qui détient l’immeuble et les personnes allergiques si le chat s’enfuyait. De plus, le respect du consentement serait brisé vu qu’il est formellement indiqué sur le bail que les animaux sont interdits et la signature affirme qu’on se conforme à ce que le propriétaire nous accorde.</w:t>
      </w:r>
    </w:p>
    <w:sectPr w:rsidR="007000D8" w:rsidRPr="00700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110BBB"/>
    <w:multiLevelType w:val="hybridMultilevel"/>
    <w:tmpl w:val="726E4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4208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433"/>
    <w:rsid w:val="00202433"/>
    <w:rsid w:val="00222CCF"/>
    <w:rsid w:val="007000D8"/>
    <w:rsid w:val="00730CA3"/>
    <w:rsid w:val="00884059"/>
    <w:rsid w:val="009F7D4A"/>
    <w:rsid w:val="00B0545D"/>
    <w:rsid w:val="00B21BB7"/>
    <w:rsid w:val="00E74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B12E9"/>
  <w15:chartTrackingRefBased/>
  <w15:docId w15:val="{BF23DB15-CD3E-48F1-9A75-50DFA9C3C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840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244</Words>
  <Characters>1396</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Archambault-Bouffard Christopher-William</dc:creator>
  <cp:keywords/>
  <dc:description/>
  <cp:lastModifiedBy>Archambault-Bouffard Christopher-William</cp:lastModifiedBy>
  <cp:revision>4</cp:revision>
  <dcterms:created xsi:type="dcterms:W3CDTF">2023-02-22T00:48:00Z</dcterms:created>
  <dcterms:modified xsi:type="dcterms:W3CDTF">2023-02-22T01:30:00Z</dcterms:modified>
</cp:coreProperties>
</file>