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A4E90" w14:textId="1D190EB8" w:rsidR="098F04F7" w:rsidRDefault="098F04F7" w:rsidP="60843329">
      <w:pPr>
        <w:jc w:val="center"/>
      </w:pPr>
      <w:r>
        <w:t>Christopher-William Archambault-Bouffard</w:t>
      </w:r>
    </w:p>
    <w:p w14:paraId="737D0EA9" w14:textId="08C4CAF2" w:rsidR="098F04F7" w:rsidRDefault="098F04F7" w:rsidP="60843329">
      <w:pPr>
        <w:jc w:val="center"/>
      </w:pPr>
      <w:r>
        <w:t>LITTÉRATURE ET IMAGINAIRE</w:t>
      </w:r>
    </w:p>
    <w:p w14:paraId="12C06D17" w14:textId="595E70D5" w:rsidR="098F04F7" w:rsidRDefault="098F04F7" w:rsidP="60843329">
      <w:pPr>
        <w:jc w:val="center"/>
      </w:pPr>
      <w:r>
        <w:t>601-102-MQ, 08</w:t>
      </w:r>
    </w:p>
    <w:p w14:paraId="2971E03F" w14:textId="536A0953" w:rsidR="098F04F7" w:rsidRDefault="098F04F7" w:rsidP="60843329">
      <w:pPr>
        <w:jc w:val="center"/>
      </w:pPr>
      <w:r>
        <w:t xml:space="preserve"> </w:t>
      </w:r>
    </w:p>
    <w:p w14:paraId="5A6C5C9B" w14:textId="73B28880" w:rsidR="098F04F7" w:rsidRDefault="098F04F7" w:rsidP="60843329">
      <w:pPr>
        <w:jc w:val="center"/>
      </w:pPr>
      <w:r>
        <w:t xml:space="preserve"> </w:t>
      </w:r>
    </w:p>
    <w:p w14:paraId="153D644E" w14:textId="1E0DA0A3" w:rsidR="72E075B9" w:rsidRDefault="72E075B9" w:rsidP="72E075B9">
      <w:pPr>
        <w:jc w:val="center"/>
      </w:pPr>
    </w:p>
    <w:p w14:paraId="0E37B45A" w14:textId="5333A1AC" w:rsidR="098F04F7" w:rsidRDefault="098F04F7" w:rsidP="60843329">
      <w:pPr>
        <w:jc w:val="center"/>
      </w:pPr>
      <w:r>
        <w:t xml:space="preserve"> </w:t>
      </w:r>
    </w:p>
    <w:p w14:paraId="3163DFFF" w14:textId="0E20A1CB" w:rsidR="098F04F7" w:rsidRDefault="098F04F7" w:rsidP="60843329">
      <w:pPr>
        <w:jc w:val="center"/>
      </w:pPr>
      <w:r>
        <w:t>Travail de création</w:t>
      </w:r>
    </w:p>
    <w:p w14:paraId="2FE48E34" w14:textId="4F789DC8" w:rsidR="098F04F7" w:rsidRDefault="098F04F7" w:rsidP="60843329">
      <w:pPr>
        <w:jc w:val="center"/>
      </w:pPr>
      <w:r>
        <w:t xml:space="preserve"> </w:t>
      </w:r>
    </w:p>
    <w:p w14:paraId="3ECE11BB" w14:textId="781506B5" w:rsidR="60843329" w:rsidRDefault="60843329" w:rsidP="60843329">
      <w:pPr>
        <w:jc w:val="center"/>
      </w:pPr>
    </w:p>
    <w:p w14:paraId="149975B0" w14:textId="2C55704C" w:rsidR="098F04F7" w:rsidRDefault="098F04F7" w:rsidP="60843329">
      <w:pPr>
        <w:jc w:val="center"/>
      </w:pPr>
      <w:r>
        <w:t xml:space="preserve"> </w:t>
      </w:r>
    </w:p>
    <w:p w14:paraId="737CBC33" w14:textId="388C1658" w:rsidR="60843329" w:rsidRDefault="60843329" w:rsidP="60843329">
      <w:pPr>
        <w:jc w:val="center"/>
      </w:pPr>
    </w:p>
    <w:p w14:paraId="05ECE5A3" w14:textId="3C297B70" w:rsidR="098F04F7" w:rsidRDefault="098F04F7" w:rsidP="60843329">
      <w:pPr>
        <w:jc w:val="center"/>
      </w:pPr>
      <w:r>
        <w:t xml:space="preserve"> </w:t>
      </w:r>
    </w:p>
    <w:p w14:paraId="28612F17" w14:textId="20274471" w:rsidR="098F04F7" w:rsidRDefault="098F04F7" w:rsidP="60843329">
      <w:pPr>
        <w:jc w:val="center"/>
      </w:pPr>
      <w:r>
        <w:t>Travail présenté à</w:t>
      </w:r>
    </w:p>
    <w:p w14:paraId="264B528A" w14:textId="58C781A0" w:rsidR="098F04F7" w:rsidRDefault="098F04F7" w:rsidP="60843329">
      <w:pPr>
        <w:jc w:val="center"/>
      </w:pPr>
      <w:r>
        <w:t xml:space="preserve">Élisabeth </w:t>
      </w:r>
      <w:proofErr w:type="spellStart"/>
      <w:r>
        <w:t>Désourdy</w:t>
      </w:r>
      <w:proofErr w:type="spellEnd"/>
    </w:p>
    <w:p w14:paraId="77F7C515" w14:textId="52F9EFA0" w:rsidR="098F04F7" w:rsidRDefault="098F04F7" w:rsidP="60843329">
      <w:pPr>
        <w:jc w:val="center"/>
      </w:pPr>
      <w:r>
        <w:t xml:space="preserve"> </w:t>
      </w:r>
    </w:p>
    <w:p w14:paraId="37A05476" w14:textId="502770D8" w:rsidR="098F04F7" w:rsidRDefault="098F04F7" w:rsidP="60843329">
      <w:pPr>
        <w:jc w:val="center"/>
      </w:pPr>
      <w:r>
        <w:t xml:space="preserve"> </w:t>
      </w:r>
    </w:p>
    <w:p w14:paraId="10F775A4" w14:textId="657776AF" w:rsidR="72E075B9" w:rsidRDefault="72E075B9" w:rsidP="72E075B9">
      <w:pPr>
        <w:jc w:val="center"/>
      </w:pPr>
    </w:p>
    <w:p w14:paraId="513C95EF" w14:textId="3583CE9F" w:rsidR="098F04F7" w:rsidRDefault="098F04F7" w:rsidP="60843329">
      <w:pPr>
        <w:jc w:val="center"/>
      </w:pPr>
      <w:r>
        <w:t xml:space="preserve"> </w:t>
      </w:r>
    </w:p>
    <w:p w14:paraId="1B7142E3" w14:textId="095C241E" w:rsidR="098F04F7" w:rsidRDefault="098F04F7" w:rsidP="60843329">
      <w:pPr>
        <w:jc w:val="center"/>
      </w:pPr>
      <w:r>
        <w:t xml:space="preserve">Département de </w:t>
      </w:r>
      <w:r w:rsidR="72CF4F88">
        <w:t>f</w:t>
      </w:r>
      <w:r>
        <w:t>ran</w:t>
      </w:r>
      <w:r w:rsidR="377CA634">
        <w:t>çais</w:t>
      </w:r>
    </w:p>
    <w:p w14:paraId="582C5820" w14:textId="7F0D5F1D" w:rsidR="60A3F0A0" w:rsidRDefault="60A3F0A0" w:rsidP="60843329">
      <w:pPr>
        <w:jc w:val="center"/>
      </w:pPr>
      <w:r>
        <w:t>13 avril 2023</w:t>
      </w:r>
    </w:p>
    <w:p w14:paraId="5699FAB6" w14:textId="3BF7171B" w:rsidR="60843329" w:rsidRDefault="60843329" w:rsidP="60843329">
      <w:pPr>
        <w:jc w:val="center"/>
      </w:pPr>
    </w:p>
    <w:p w14:paraId="572A7D1C" w14:textId="2625F22D" w:rsidR="098F04F7" w:rsidRDefault="098F04F7" w:rsidP="60843329">
      <w:pPr>
        <w:jc w:val="center"/>
      </w:pPr>
      <w:r>
        <w:t xml:space="preserve"> </w:t>
      </w:r>
    </w:p>
    <w:p w14:paraId="38DAF5FD" w14:textId="48BC6CC4" w:rsidR="72E075B9" w:rsidRDefault="72E075B9" w:rsidP="72E075B9">
      <w:pPr>
        <w:jc w:val="center"/>
      </w:pPr>
    </w:p>
    <w:p w14:paraId="5E1B30A0" w14:textId="7909B383" w:rsidR="098F04F7" w:rsidRDefault="098F04F7" w:rsidP="60843329">
      <w:pPr>
        <w:jc w:val="center"/>
      </w:pPr>
      <w:r>
        <w:t xml:space="preserve"> </w:t>
      </w:r>
    </w:p>
    <w:p w14:paraId="3E818EB1" w14:textId="065ACC8A" w:rsidR="098F04F7" w:rsidRDefault="098F04F7" w:rsidP="60843329">
      <w:r>
        <w:t>J’atteste que j’ai personnellement produit ce travail et que j’ai indiqué tous les emprunts de textes ou d’idées (provenant de documents écrits, oraux ou visuels).</w:t>
      </w:r>
    </w:p>
    <w:p w14:paraId="338A05C1" w14:textId="23B108DF" w:rsidR="098F04F7" w:rsidRDefault="098F04F7" w:rsidP="60843329"/>
    <w:p w14:paraId="374902D5" w14:textId="67FAD398" w:rsidR="098F04F7" w:rsidRDefault="098F04F7" w:rsidP="2B3F9A34">
      <w:r>
        <w:t>Signature de l’étudiant : Christopher-William Archambault-Bouffa</w:t>
      </w:r>
      <w:r w:rsidR="553CC502">
        <w:t>rd</w:t>
      </w:r>
    </w:p>
    <w:p w14:paraId="2B9085DD" w14:textId="7C0B2056" w:rsidR="2B3F9A34" w:rsidRDefault="2B3F9A34">
      <w:r>
        <w:br w:type="page"/>
      </w:r>
    </w:p>
    <w:p w14:paraId="338E3A75" w14:textId="77777777" w:rsidR="005519E0" w:rsidRDefault="005519E0" w:rsidP="005519E0">
      <w:pPr>
        <w:spacing w:line="480" w:lineRule="auto"/>
        <w:jc w:val="both"/>
      </w:pPr>
      <w:r>
        <w:lastRenderedPageBreak/>
        <w:t xml:space="preserve">Comment peut-on comprendre la violence qui imprègne l'œuvre "La vie et demie" de Sony Labou </w:t>
      </w:r>
      <w:proofErr w:type="spellStart"/>
      <w:r>
        <w:t>Tansi</w:t>
      </w:r>
      <w:proofErr w:type="spellEnd"/>
      <w:r>
        <w:t xml:space="preserve"> ? À travers son récit, l'auteur plonge le lecteur dans un monde impitoyable où la vie humaine semble n'avoir aucune valeur. La violence prend différentes formes, allant de la guerre civile à la corruption, en passant par des exécutions sommaires et l'oppression politique. En explorant ces différentes facettes de la violence, </w:t>
      </w:r>
      <w:proofErr w:type="spellStart"/>
      <w:r>
        <w:t>Tansi</w:t>
      </w:r>
      <w:proofErr w:type="spellEnd"/>
      <w:r>
        <w:t xml:space="preserve"> cherche à éveiller la conscience de ses lecteurs sur les conséquences désastreuses de l'oppression et à interpeller sur les mécanismes qui conduisent à de telles atrocités. Comment pouvons-nous appréhender cette violence ? Quelles sont les limites de notre compréhension face à ces horreurs ? C'est à travers ces questionnements que l'auteur invite le lecteur à s'interroger sur la nature même de la violence et de son impact sur la condition humaine.</w:t>
      </w:r>
    </w:p>
    <w:p w14:paraId="72656BCC" w14:textId="77777777" w:rsidR="005519E0" w:rsidRDefault="005519E0" w:rsidP="005519E0">
      <w:pPr>
        <w:spacing w:line="480" w:lineRule="auto"/>
        <w:jc w:val="both"/>
      </w:pPr>
      <w:r>
        <w:t xml:space="preserve">Le roman commence sur une scène violente qui donne le ton du récit à venir. La loque-père qui est Martial se fait enfoncer un couteau dans la gorge, se fait ouvrir le ventre avec le même couteau. Le guide voyant que Martial n’est toujours pas mort, il lui tire dans l’oreille gauche, tire plusieurs chargeurs avec son « PM » et en fait même un pâté pour faire manger la famille de Martial que Jules refuse de manger : « Le Guide Providentiel lui avait simplement planté son couteau de table dans la gorge. Pendant qu’ils mangeaient, le cadavre de Jules se vidait de son sang. »  Cette scène initiale est révélatrice de l'atmosphère oppressante qui règne dans le roman, où la violence est omniprésente et où la vie humaine semble n'avoir aucune valeur. À travers cette représentation réaliste et sans fard de la violence, </w:t>
      </w:r>
      <w:proofErr w:type="spellStart"/>
      <w:r>
        <w:t>Tansi</w:t>
      </w:r>
      <w:proofErr w:type="spellEnd"/>
      <w:r>
        <w:t xml:space="preserve"> cherche à sensibiliser ses lecteurs sur les conséquences tragiques de l'oppression et à interpeller sur la nécessité de lutter contre toute forme d'injustice.</w:t>
      </w:r>
    </w:p>
    <w:p w14:paraId="37E57462" w14:textId="77777777" w:rsidR="005519E0" w:rsidRDefault="005519E0" w:rsidP="005519E0">
      <w:pPr>
        <w:spacing w:line="480" w:lineRule="auto"/>
        <w:jc w:val="both"/>
      </w:pPr>
      <w:r>
        <w:t xml:space="preserve">Tout au long du roman, </w:t>
      </w:r>
      <w:proofErr w:type="spellStart"/>
      <w:r>
        <w:t>Tansi</w:t>
      </w:r>
      <w:proofErr w:type="spellEnd"/>
      <w:r>
        <w:t xml:space="preserve"> utilise le langage comme un outil pour dénoncer la violence. Il utilise notamment l'ironie et l'absurde pour mettre en lumière les contradictions et les injustices de la société. Ainsi, lorsque le Guide Providentiel fait des déclarations sur le podium à la foule et qu’il fait un cri de ralliement et qu’il parle de l’unité et de la révolution, il dit : « à ce moment difficile de la déshumanisation générale des humains [...] devenue une nécessité inconditionnelle à la survie des Noirs en particulier et des pauvres en général ». La foule s’agitait beaucoup en pensant voir Martial </w:t>
      </w:r>
      <w:r>
        <w:lastRenderedPageBreak/>
        <w:t>sur le podium. La police ouvrit le feu sur le peuple à cause du désordre : « Là-bas, la rafale tirait toujours. Et bientôt des chars marchèrent à la poursuite de cette vase de viande fuyante. Pendant trois jours et trois nuits, la ville avait été cette chose qui bouge, inhumaine. Le quatrième jour était celui du ramassage. » Sony, montre à quel point ces affirmations sont creuses et hypocrites.</w:t>
      </w:r>
    </w:p>
    <w:p w14:paraId="78AEB66E" w14:textId="77777777" w:rsidR="005519E0" w:rsidRDefault="005519E0" w:rsidP="005519E0">
      <w:pPr>
        <w:spacing w:line="480" w:lineRule="auto"/>
        <w:jc w:val="both"/>
      </w:pPr>
      <w:r>
        <w:t xml:space="preserve">De plus, la mort au champagne des ministres organisé par </w:t>
      </w:r>
      <w:proofErr w:type="spellStart"/>
      <w:r>
        <w:t>Chaïdana</w:t>
      </w:r>
      <w:proofErr w:type="spellEnd"/>
      <w:r>
        <w:t xml:space="preserve"> est un acte de vengeance violente qui s'inscrit dans le contexte d'une soif de vengeance. </w:t>
      </w:r>
      <w:proofErr w:type="spellStart"/>
      <w:r>
        <w:t>Chaïdana</w:t>
      </w:r>
      <w:proofErr w:type="spellEnd"/>
      <w:r>
        <w:t xml:space="preserve">, qui est l'un des personnages le plus important et présent du roman, est présentée comme une révolutionnaire idéaliste qui cherche à renverser le régime en place. Mais ses méthodes sont extrêmement violentes et elle est motivée par cette vengeance qui la fait agir. Lorsqu'elle organise la mort au champagne de chacun des ministres, elle ne vise pas seulement à éliminer des ennemis politiques, mais également à venger les horreurs commises par le Guide Providentiel. Les scènes de mort au champagne des ministres sont particulièrement choquantes, car </w:t>
      </w:r>
      <w:proofErr w:type="spellStart"/>
      <w:r>
        <w:t>Chaïdana</w:t>
      </w:r>
      <w:proofErr w:type="spellEnd"/>
      <w:r>
        <w:t xml:space="preserve"> qui a une beauté exceptionnelle, les attire sexuellement à l’hôtel de La vie et demie les attend dans sa chambre nue avec deux coupes dont une qui contient du « </w:t>
      </w:r>
      <w:proofErr w:type="spellStart"/>
      <w:r>
        <w:t>vouokani</w:t>
      </w:r>
      <w:proofErr w:type="spellEnd"/>
      <w:r>
        <w:t xml:space="preserve"> » qui est le poison qu’elle met dans la coupe pour chaque ministre. Chaque ministre, qui se trouve dans la chambre à </w:t>
      </w:r>
      <w:proofErr w:type="spellStart"/>
      <w:r>
        <w:t>Chaïdana</w:t>
      </w:r>
      <w:proofErr w:type="spellEnd"/>
      <w:r>
        <w:t xml:space="preserve">, est invité à boire du champagne par </w:t>
      </w:r>
      <w:proofErr w:type="spellStart"/>
      <w:r>
        <w:t>Chaïdana</w:t>
      </w:r>
      <w:proofErr w:type="spellEnd"/>
      <w:r>
        <w:t>. Ils acceptent sans méfiance et découvrent trop tard que le champagne est empoisonné. Ils meurent les uns après les autres, dans d'atroces souffrances. Cette scène est d'une violence extrême, car elle montre comment la mort peut être infligée de manière froide et calculée, sans égard pour la vie humaine.</w:t>
      </w:r>
    </w:p>
    <w:p w14:paraId="61998A34" w14:textId="77777777" w:rsidR="005519E0" w:rsidRDefault="005519E0" w:rsidP="005519E0">
      <w:pPr>
        <w:spacing w:line="480" w:lineRule="auto"/>
        <w:jc w:val="both"/>
      </w:pPr>
      <w:r>
        <w:t xml:space="preserve">Cependant, la violence ne se limite pas à la violence crue et à la vengeance dans "La vie et demie". </w:t>
      </w:r>
      <w:proofErr w:type="spellStart"/>
      <w:r>
        <w:t>Tansi</w:t>
      </w:r>
      <w:proofErr w:type="spellEnd"/>
      <w:r>
        <w:t xml:space="preserve"> décrit également la violence culturelle qui affecte les pygmées. Par exemple, </w:t>
      </w:r>
      <w:proofErr w:type="spellStart"/>
      <w:r>
        <w:t>Mulatashio</w:t>
      </w:r>
      <w:proofErr w:type="spellEnd"/>
      <w:r>
        <w:t xml:space="preserve"> qui est un pygmée se fait tirer, car les soldats qui sont venus à la mort de </w:t>
      </w:r>
      <w:proofErr w:type="spellStart"/>
      <w:r>
        <w:t>Kapahacheu</w:t>
      </w:r>
      <w:proofErr w:type="spellEnd"/>
      <w:r>
        <w:t xml:space="preserve"> demandent à ce que tout le monde se disperse. Or, </w:t>
      </w:r>
      <w:proofErr w:type="spellStart"/>
      <w:r>
        <w:t>Mulatashio</w:t>
      </w:r>
      <w:proofErr w:type="spellEnd"/>
      <w:r>
        <w:t xml:space="preserve"> explique qu’ils pleurent la mort de leur cousin et le chef des soldats qui est tombé en colère dit : « Un Pygmée n’aura jamais le droit de parler de cette façon à un </w:t>
      </w:r>
      <w:proofErr w:type="spellStart"/>
      <w:r>
        <w:t>Payonda</w:t>
      </w:r>
      <w:proofErr w:type="spellEnd"/>
      <w:r>
        <w:t xml:space="preserve">. » </w:t>
      </w:r>
      <w:proofErr w:type="spellStart"/>
      <w:r>
        <w:t>Mulatashio</w:t>
      </w:r>
      <w:proofErr w:type="spellEnd"/>
      <w:r>
        <w:t xml:space="preserve"> qui affirme que la forêt appartient aux </w:t>
      </w:r>
      <w:proofErr w:type="spellStart"/>
      <w:r>
        <w:t>Mhaha</w:t>
      </w:r>
      <w:proofErr w:type="spellEnd"/>
      <w:r>
        <w:t xml:space="preserve">, cependant, le soldat n’écoutait </w:t>
      </w:r>
      <w:r>
        <w:lastRenderedPageBreak/>
        <w:t>pas sa réponse et lui tire une balle et son sang coulait dans la bouche ouverte du défunt. Cette violence dépeint un problème de différences culturelles dénoncé par Sony.</w:t>
      </w:r>
    </w:p>
    <w:p w14:paraId="14CE2D72" w14:textId="5A57CAA0" w:rsidR="6DD078EF" w:rsidRDefault="005519E0" w:rsidP="005519E0">
      <w:pPr>
        <w:spacing w:line="480" w:lineRule="auto"/>
        <w:jc w:val="both"/>
      </w:pPr>
      <w:r>
        <w:t xml:space="preserve">En conclusion, face à cette violence omniprésente, les personnages de "La vie et demie" cherchent des moyens de s'opposer à l'oppression. Certains, comme </w:t>
      </w:r>
      <w:proofErr w:type="spellStart"/>
      <w:r>
        <w:t>Chaïdana</w:t>
      </w:r>
      <w:proofErr w:type="spellEnd"/>
      <w:r>
        <w:t>, essayent de renverser le régime par des actions directes et violentes.</w:t>
      </w:r>
    </w:p>
    <w:sectPr w:rsidR="6DD078EF">
      <w:headerReference w:type="default" r:id="rId6"/>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327AD" w14:textId="77777777" w:rsidR="00B51687" w:rsidRDefault="00B51687">
      <w:pPr>
        <w:spacing w:after="0" w:line="240" w:lineRule="auto"/>
      </w:pPr>
      <w:r>
        <w:separator/>
      </w:r>
    </w:p>
  </w:endnote>
  <w:endnote w:type="continuationSeparator" w:id="0">
    <w:p w14:paraId="3FDD401B" w14:textId="77777777" w:rsidR="00B51687" w:rsidRDefault="00B51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0843329" w14:paraId="62F0C08B" w14:textId="77777777" w:rsidTr="60843329">
      <w:trPr>
        <w:trHeight w:val="300"/>
      </w:trPr>
      <w:tc>
        <w:tcPr>
          <w:tcW w:w="3005" w:type="dxa"/>
        </w:tcPr>
        <w:p w14:paraId="424D2F23" w14:textId="6E6D149D" w:rsidR="60843329" w:rsidRDefault="60843329" w:rsidP="60843329">
          <w:pPr>
            <w:pStyle w:val="En-tte"/>
            <w:ind w:left="-115"/>
          </w:pPr>
        </w:p>
      </w:tc>
      <w:tc>
        <w:tcPr>
          <w:tcW w:w="3005" w:type="dxa"/>
        </w:tcPr>
        <w:p w14:paraId="15200334" w14:textId="084A85F9" w:rsidR="60843329" w:rsidRDefault="60843329" w:rsidP="60843329">
          <w:pPr>
            <w:pStyle w:val="En-tte"/>
            <w:jc w:val="center"/>
          </w:pPr>
        </w:p>
      </w:tc>
      <w:tc>
        <w:tcPr>
          <w:tcW w:w="3005" w:type="dxa"/>
        </w:tcPr>
        <w:p w14:paraId="14661DDF" w14:textId="4C766B57" w:rsidR="60843329" w:rsidRDefault="60843329" w:rsidP="60843329">
          <w:pPr>
            <w:pStyle w:val="En-tte"/>
            <w:ind w:right="-115"/>
            <w:jc w:val="right"/>
          </w:pPr>
        </w:p>
      </w:tc>
    </w:tr>
  </w:tbl>
  <w:p w14:paraId="2C604CFB" w14:textId="3A43A517" w:rsidR="60843329" w:rsidRDefault="60843329" w:rsidP="6084332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7271D" w14:textId="77777777" w:rsidR="00B51687" w:rsidRDefault="00B51687">
      <w:pPr>
        <w:spacing w:after="0" w:line="240" w:lineRule="auto"/>
      </w:pPr>
      <w:r>
        <w:separator/>
      </w:r>
    </w:p>
  </w:footnote>
  <w:footnote w:type="continuationSeparator" w:id="0">
    <w:p w14:paraId="65FCAEDC" w14:textId="77777777" w:rsidR="00B51687" w:rsidRDefault="00B516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0843329" w14:paraId="5DA3E060" w14:textId="77777777" w:rsidTr="60843329">
      <w:trPr>
        <w:trHeight w:val="300"/>
      </w:trPr>
      <w:tc>
        <w:tcPr>
          <w:tcW w:w="3005" w:type="dxa"/>
        </w:tcPr>
        <w:p w14:paraId="0CD17A30" w14:textId="7FF61C5D" w:rsidR="60843329" w:rsidRDefault="60843329" w:rsidP="60843329">
          <w:pPr>
            <w:pStyle w:val="En-tte"/>
            <w:ind w:left="-115"/>
          </w:pPr>
        </w:p>
      </w:tc>
      <w:tc>
        <w:tcPr>
          <w:tcW w:w="3005" w:type="dxa"/>
        </w:tcPr>
        <w:p w14:paraId="396D23CD" w14:textId="09F27621" w:rsidR="60843329" w:rsidRDefault="60843329" w:rsidP="60843329">
          <w:pPr>
            <w:pStyle w:val="En-tte"/>
            <w:jc w:val="center"/>
          </w:pPr>
        </w:p>
      </w:tc>
      <w:tc>
        <w:tcPr>
          <w:tcW w:w="3005" w:type="dxa"/>
        </w:tcPr>
        <w:p w14:paraId="7F1485AB" w14:textId="43E15540" w:rsidR="60843329" w:rsidRDefault="60843329" w:rsidP="60843329">
          <w:pPr>
            <w:pStyle w:val="En-tte"/>
            <w:ind w:right="-115"/>
            <w:jc w:val="right"/>
          </w:pPr>
        </w:p>
      </w:tc>
    </w:tr>
  </w:tbl>
  <w:p w14:paraId="4A02A5C6" w14:textId="166AA26E" w:rsidR="60843329" w:rsidRDefault="60843329" w:rsidP="60843329">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312BEF"/>
    <w:rsid w:val="005519E0"/>
    <w:rsid w:val="0093E97D"/>
    <w:rsid w:val="00948C88"/>
    <w:rsid w:val="00B51687"/>
    <w:rsid w:val="00C3D0C4"/>
    <w:rsid w:val="01673998"/>
    <w:rsid w:val="019CD8BE"/>
    <w:rsid w:val="01BF5904"/>
    <w:rsid w:val="022FB9DE"/>
    <w:rsid w:val="027157C9"/>
    <w:rsid w:val="02AB04B9"/>
    <w:rsid w:val="040D282A"/>
    <w:rsid w:val="047DF1F8"/>
    <w:rsid w:val="05675AA0"/>
    <w:rsid w:val="05686AB4"/>
    <w:rsid w:val="07CB1549"/>
    <w:rsid w:val="07D67B1C"/>
    <w:rsid w:val="07F2F1E5"/>
    <w:rsid w:val="098F04F7"/>
    <w:rsid w:val="0A34252C"/>
    <w:rsid w:val="0A3ACBC3"/>
    <w:rsid w:val="0A53F420"/>
    <w:rsid w:val="0A5E7929"/>
    <w:rsid w:val="0B85C82E"/>
    <w:rsid w:val="0BB859BE"/>
    <w:rsid w:val="0BD69C24"/>
    <w:rsid w:val="0CC6A5B9"/>
    <w:rsid w:val="0D1CD712"/>
    <w:rsid w:val="117D5D62"/>
    <w:rsid w:val="125FCF53"/>
    <w:rsid w:val="126F33DA"/>
    <w:rsid w:val="128E92F1"/>
    <w:rsid w:val="13192DC3"/>
    <w:rsid w:val="13E25114"/>
    <w:rsid w:val="14FE4B31"/>
    <w:rsid w:val="155BA71E"/>
    <w:rsid w:val="187F304D"/>
    <w:rsid w:val="18CBC23E"/>
    <w:rsid w:val="19D1BC54"/>
    <w:rsid w:val="1B3565EA"/>
    <w:rsid w:val="1B6D8CB5"/>
    <w:rsid w:val="1BB2F30D"/>
    <w:rsid w:val="1D907DD5"/>
    <w:rsid w:val="1E4AA593"/>
    <w:rsid w:val="1FD3538D"/>
    <w:rsid w:val="1FE675F4"/>
    <w:rsid w:val="1FFF9E51"/>
    <w:rsid w:val="20566BDC"/>
    <w:rsid w:val="207EBCEB"/>
    <w:rsid w:val="210200D2"/>
    <w:rsid w:val="21C34135"/>
    <w:rsid w:val="21EF3A8F"/>
    <w:rsid w:val="2263EEF8"/>
    <w:rsid w:val="2290A8C6"/>
    <w:rsid w:val="229DD133"/>
    <w:rsid w:val="23312BEF"/>
    <w:rsid w:val="235F1196"/>
    <w:rsid w:val="24FAE1F7"/>
    <w:rsid w:val="25366861"/>
    <w:rsid w:val="25D571F5"/>
    <w:rsid w:val="267D2CAA"/>
    <w:rsid w:val="28DBCC56"/>
    <w:rsid w:val="28F685A3"/>
    <w:rsid w:val="2937C79D"/>
    <w:rsid w:val="298FD2C0"/>
    <w:rsid w:val="2A88F288"/>
    <w:rsid w:val="2AAD4916"/>
    <w:rsid w:val="2B3F9A34"/>
    <w:rsid w:val="2B45E215"/>
    <w:rsid w:val="2C24C2E9"/>
    <w:rsid w:val="2F248B02"/>
    <w:rsid w:val="2F32C41C"/>
    <w:rsid w:val="2F99F8AB"/>
    <w:rsid w:val="306DCA12"/>
    <w:rsid w:val="3197629A"/>
    <w:rsid w:val="329095B6"/>
    <w:rsid w:val="3444743C"/>
    <w:rsid w:val="3457B2E4"/>
    <w:rsid w:val="3498D24A"/>
    <w:rsid w:val="34F07DB9"/>
    <w:rsid w:val="3518F347"/>
    <w:rsid w:val="357CE84C"/>
    <w:rsid w:val="357E723E"/>
    <w:rsid w:val="3584BB2B"/>
    <w:rsid w:val="36B5284F"/>
    <w:rsid w:val="3779C6DC"/>
    <w:rsid w:val="377CA634"/>
    <w:rsid w:val="389E7E3A"/>
    <w:rsid w:val="3917E55F"/>
    <w:rsid w:val="392B2407"/>
    <w:rsid w:val="393A65A5"/>
    <w:rsid w:val="397FCF69"/>
    <w:rsid w:val="39AA4AD7"/>
    <w:rsid w:val="39EA6039"/>
    <w:rsid w:val="3AC0707D"/>
    <w:rsid w:val="3BEA876C"/>
    <w:rsid w:val="3D2A0FD4"/>
    <w:rsid w:val="3D9F8923"/>
    <w:rsid w:val="3DCEDFB9"/>
    <w:rsid w:val="3DEB5682"/>
    <w:rsid w:val="3EA0BD09"/>
    <w:rsid w:val="4057841A"/>
    <w:rsid w:val="406D129B"/>
    <w:rsid w:val="4080E0F4"/>
    <w:rsid w:val="416F160F"/>
    <w:rsid w:val="420D48FA"/>
    <w:rsid w:val="424A25A8"/>
    <w:rsid w:val="44748474"/>
    <w:rsid w:val="44F21197"/>
    <w:rsid w:val="45C343C7"/>
    <w:rsid w:val="46233EAB"/>
    <w:rsid w:val="46BC638F"/>
    <w:rsid w:val="47D3BF7F"/>
    <w:rsid w:val="482519E8"/>
    <w:rsid w:val="48FAE489"/>
    <w:rsid w:val="49EF6A7F"/>
    <w:rsid w:val="4A08A3BF"/>
    <w:rsid w:val="4A1BE267"/>
    <w:rsid w:val="4F25033E"/>
    <w:rsid w:val="4F8EBA64"/>
    <w:rsid w:val="510B696E"/>
    <w:rsid w:val="544B874A"/>
    <w:rsid w:val="553CC502"/>
    <w:rsid w:val="554B5666"/>
    <w:rsid w:val="56FA656F"/>
    <w:rsid w:val="572BA999"/>
    <w:rsid w:val="5748E8CA"/>
    <w:rsid w:val="5770A76F"/>
    <w:rsid w:val="577AAAF2"/>
    <w:rsid w:val="5786E5A4"/>
    <w:rsid w:val="59B79054"/>
    <w:rsid w:val="59FF1E67"/>
    <w:rsid w:val="5A504423"/>
    <w:rsid w:val="5ACAD106"/>
    <w:rsid w:val="5ADD89E0"/>
    <w:rsid w:val="5B9E2121"/>
    <w:rsid w:val="5D39F182"/>
    <w:rsid w:val="5EB4EB8F"/>
    <w:rsid w:val="5F1C0F00"/>
    <w:rsid w:val="60719244"/>
    <w:rsid w:val="60843329"/>
    <w:rsid w:val="60A3F0A0"/>
    <w:rsid w:val="61442044"/>
    <w:rsid w:val="63931295"/>
    <w:rsid w:val="64B3830D"/>
    <w:rsid w:val="671F8D3D"/>
    <w:rsid w:val="68075FD1"/>
    <w:rsid w:val="694A0676"/>
    <w:rsid w:val="6A6A5C4C"/>
    <w:rsid w:val="6ACFB9F9"/>
    <w:rsid w:val="6C67215E"/>
    <w:rsid w:val="6C93FFE8"/>
    <w:rsid w:val="6CFB1276"/>
    <w:rsid w:val="6DD078EF"/>
    <w:rsid w:val="6E208318"/>
    <w:rsid w:val="6E3C686D"/>
    <w:rsid w:val="6EDD255C"/>
    <w:rsid w:val="6FA263C0"/>
    <w:rsid w:val="7172A09C"/>
    <w:rsid w:val="718FDFCD"/>
    <w:rsid w:val="71EF3EA3"/>
    <w:rsid w:val="7214C61E"/>
    <w:rsid w:val="72CF4F88"/>
    <w:rsid w:val="72E075B9"/>
    <w:rsid w:val="74BE55B5"/>
    <w:rsid w:val="754C66E0"/>
    <w:rsid w:val="765A2616"/>
    <w:rsid w:val="769C3CFD"/>
    <w:rsid w:val="77AEE81E"/>
    <w:rsid w:val="77F67631"/>
    <w:rsid w:val="785511DA"/>
    <w:rsid w:val="789AB579"/>
    <w:rsid w:val="789F8EC2"/>
    <w:rsid w:val="78CEE133"/>
    <w:rsid w:val="7991C6D8"/>
    <w:rsid w:val="79CE1C23"/>
    <w:rsid w:val="7AFFCF6E"/>
    <w:rsid w:val="7C6928D2"/>
    <w:rsid w:val="7C854271"/>
    <w:rsid w:val="7E03659C"/>
    <w:rsid w:val="7E6537FB"/>
    <w:rsid w:val="7F25C6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7EA7"/>
  <w15:chartTrackingRefBased/>
  <w15:docId w15:val="{37EEDC3E-BD49-4B98-8F02-0F4B88A1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tteCar">
    <w:name w:val="En-tête Car"/>
    <w:basedOn w:val="Policepardfaut"/>
    <w:link w:val="En-tte"/>
    <w:uiPriority w:val="99"/>
  </w:style>
  <w:style w:type="paragraph" w:styleId="En-tte">
    <w:name w:val="header"/>
    <w:basedOn w:val="Normal"/>
    <w:link w:val="En-tteCar"/>
    <w:uiPriority w:val="99"/>
    <w:unhideWhenUsed/>
    <w:pPr>
      <w:tabs>
        <w:tab w:val="center" w:pos="4680"/>
        <w:tab w:val="right" w:pos="9360"/>
      </w:tabs>
      <w:spacing w:after="0" w:line="240" w:lineRule="auto"/>
    </w:pPr>
  </w:style>
  <w:style w:type="character" w:customStyle="1" w:styleId="PieddepageCar">
    <w:name w:val="Pied de page Car"/>
    <w:basedOn w:val="Policepardfaut"/>
    <w:link w:val="Pieddepage"/>
    <w:uiPriority w:val="99"/>
  </w:style>
  <w:style w:type="paragraph" w:styleId="Pieddepage">
    <w:name w:val="footer"/>
    <w:basedOn w:val="Normal"/>
    <w:link w:val="PieddepageC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Archambault-Bouffard Christopher-William</dc:creator>
  <cp:keywords/>
  <dc:description/>
  <cp:lastModifiedBy>Archambault-Bouffard Christopher-William</cp:lastModifiedBy>
  <cp:revision>2</cp:revision>
  <dcterms:created xsi:type="dcterms:W3CDTF">2023-04-12T17:07:00Z</dcterms:created>
  <dcterms:modified xsi:type="dcterms:W3CDTF">2023-04-13T00:27:00Z</dcterms:modified>
</cp:coreProperties>
</file>