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/>
          <w:bCs/>
        </w:rPr>
      </w:pPr>
      <w:r>
        <w:rPr>
          <w:b/>
          <w:bCs/>
        </w:rPr>
        <w:t>Oral (6%)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En équipes de 3 ou 4, explorez un des sujets proposés :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Sujets :</w:t>
      </w:r>
    </w:p>
    <w:p>
      <w:pPr>
        <w:pStyle w:val="ListParagraph"/>
        <w:numPr>
          <w:ilvl w:val="0"/>
          <w:numId w:val="1"/>
        </w:numPr>
        <w:rPr>
          <w:b/>
          <w:b/>
          <w:bCs/>
        </w:rPr>
      </w:pPr>
      <w:r>
        <w:rPr>
          <w:b/>
          <w:bCs/>
        </w:rPr>
        <w:t xml:space="preserve">Le thème de l’Autre dans </w:t>
      </w:r>
      <w:r>
        <w:rPr>
          <w:b/>
          <w:bCs/>
          <w:i/>
          <w:iCs/>
        </w:rPr>
        <w:t xml:space="preserve">Huis clos </w:t>
      </w:r>
      <w:r>
        <w:rPr>
          <w:b/>
          <w:bCs/>
        </w:rPr>
        <w:t xml:space="preserve">et dans </w:t>
      </w:r>
      <w:r>
        <w:rPr>
          <w:b/>
          <w:bCs/>
          <w:i/>
          <w:iCs/>
        </w:rPr>
        <w:t>Le dieu du carnage.</w:t>
      </w:r>
    </w:p>
    <w:p>
      <w:pPr>
        <w:pStyle w:val="ListParagraph"/>
        <w:numPr>
          <w:ilvl w:val="0"/>
          <w:numId w:val="1"/>
        </w:numPr>
        <w:rPr>
          <w:b/>
          <w:b/>
          <w:bCs/>
        </w:rPr>
      </w:pPr>
      <w:r>
        <w:rPr>
          <w:b/>
          <w:bCs/>
        </w:rPr>
        <w:t xml:space="preserve">La représentation de la résilience féminine dans </w:t>
      </w:r>
      <w:r>
        <w:rPr>
          <w:b/>
          <w:bCs/>
          <w:i/>
          <w:iCs/>
        </w:rPr>
        <w:t>La vie et demie</w:t>
      </w:r>
      <w:r>
        <w:rPr>
          <w:b/>
          <w:bCs/>
          <w:iCs/>
        </w:rPr>
        <w:t xml:space="preserve">, </w:t>
      </w:r>
      <w:r>
        <w:rPr>
          <w:b/>
          <w:bCs/>
          <w:i/>
          <w:iCs/>
        </w:rPr>
        <w:t xml:space="preserve">Une si longue lettre </w:t>
      </w:r>
      <w:r>
        <w:rPr>
          <w:b/>
          <w:bCs/>
        </w:rPr>
        <w:t xml:space="preserve">et </w:t>
      </w:r>
      <w:r>
        <w:rPr>
          <w:b/>
          <w:bCs/>
          <w:i/>
          <w:iCs/>
        </w:rPr>
        <w:t>Mémoire de fille.</w:t>
      </w:r>
    </w:p>
    <w:p>
      <w:pPr>
        <w:pStyle w:val="ListParagraph"/>
        <w:numPr>
          <w:ilvl w:val="0"/>
          <w:numId w:val="1"/>
        </w:numPr>
        <w:rPr>
          <w:b/>
          <w:b/>
          <w:bCs/>
        </w:rPr>
      </w:pPr>
      <w:r>
        <w:rPr>
          <w:b/>
          <w:bCs/>
        </w:rPr>
        <w:t>La masculinité toxique dans</w:t>
      </w:r>
      <w:r>
        <w:rPr>
          <w:b/>
          <w:bCs/>
          <w:i/>
          <w:iCs/>
        </w:rPr>
        <w:t xml:space="preserve"> Les belles images, Mémoire de fille </w:t>
      </w:r>
      <w:r>
        <w:rPr>
          <w:b/>
          <w:bCs/>
        </w:rPr>
        <w:t xml:space="preserve">et </w:t>
      </w:r>
      <w:r>
        <w:rPr>
          <w:b/>
          <w:bCs/>
          <w:i/>
          <w:iCs/>
        </w:rPr>
        <w:t>Le dieu du carnage.</w:t>
      </w:r>
    </w:p>
    <w:p>
      <w:pPr>
        <w:pStyle w:val="ListParagraph"/>
        <w:numPr>
          <w:ilvl w:val="0"/>
          <w:numId w:val="1"/>
        </w:numPr>
        <w:rPr>
          <w:b/>
          <w:b/>
          <w:bCs/>
        </w:rPr>
      </w:pPr>
      <w:r>
        <w:rPr>
          <w:b/>
          <w:bCs/>
        </w:rPr>
        <w:t xml:space="preserve">Similitudes entre </w:t>
      </w:r>
      <w:r>
        <w:rPr>
          <w:b/>
          <w:bCs/>
          <w:i/>
          <w:iCs/>
        </w:rPr>
        <w:t xml:space="preserve">Huis clos </w:t>
      </w:r>
      <w:r>
        <w:rPr>
          <w:b/>
          <w:bCs/>
        </w:rPr>
        <w:t xml:space="preserve">et </w:t>
      </w:r>
      <w:r>
        <w:rPr>
          <w:b/>
          <w:bCs/>
          <w:i/>
          <w:iCs/>
        </w:rPr>
        <w:t>Le dieu du carnage</w:t>
      </w:r>
      <w:r>
        <w:rPr>
          <w:b/>
          <w:bCs/>
        </w:rPr>
        <w:t>.</w:t>
      </w:r>
    </w:p>
    <w:p>
      <w:pPr>
        <w:pStyle w:val="ListParagraph"/>
        <w:numPr>
          <w:ilvl w:val="0"/>
          <w:numId w:val="1"/>
        </w:numPr>
        <w:rPr>
          <w:b/>
          <w:b/>
          <w:bCs/>
        </w:rPr>
      </w:pPr>
      <w:r>
        <w:rPr>
          <w:b/>
          <w:bCs/>
        </w:rPr>
        <w:t xml:space="preserve">Le thème du couple dans </w:t>
      </w:r>
      <w:r>
        <w:rPr>
          <w:b/>
          <w:bCs/>
          <w:i/>
          <w:iCs/>
        </w:rPr>
        <w:t xml:space="preserve">Ni d’Ève ni d’Adam </w:t>
      </w:r>
      <w:r>
        <w:rPr>
          <w:b/>
          <w:bCs/>
        </w:rPr>
        <w:t xml:space="preserve">et dans </w:t>
      </w:r>
      <w:r>
        <w:rPr>
          <w:b/>
          <w:bCs/>
          <w:i/>
          <w:iCs/>
        </w:rPr>
        <w:t>Le dieu du carnage.</w:t>
      </w:r>
    </w:p>
    <w:p>
      <w:pPr>
        <w:pStyle w:val="ListParagraph"/>
        <w:numPr>
          <w:ilvl w:val="0"/>
          <w:numId w:val="1"/>
        </w:numPr>
        <w:rPr>
          <w:b/>
          <w:b/>
          <w:bCs/>
        </w:rPr>
      </w:pPr>
      <w:r>
        <w:rPr>
          <w:b/>
          <w:bCs/>
        </w:rPr>
        <w:t xml:space="preserve">Le thème du racisme dans </w:t>
      </w:r>
      <w:r>
        <w:rPr>
          <w:b/>
          <w:bCs/>
          <w:i/>
        </w:rPr>
        <w:t xml:space="preserve">La noire de </w:t>
      </w:r>
      <w:r>
        <w:rPr>
          <w:b/>
          <w:bCs/>
        </w:rPr>
        <w:t xml:space="preserve">et dans </w:t>
      </w:r>
      <w:r>
        <w:rPr>
          <w:b/>
          <w:bCs/>
          <w:i/>
        </w:rPr>
        <w:t>Le ventre de l’Atlantique</w:t>
      </w:r>
      <w:r>
        <w:rPr>
          <w:b/>
          <w:bCs/>
        </w:rPr>
        <w:t>.</w:t>
      </w:r>
    </w:p>
    <w:p>
      <w:pPr>
        <w:pStyle w:val="ListParagraph"/>
        <w:numPr>
          <w:ilvl w:val="0"/>
          <w:numId w:val="1"/>
        </w:numPr>
        <w:rPr>
          <w:b/>
          <w:b/>
          <w:bCs/>
        </w:rPr>
      </w:pPr>
      <w:r>
        <w:rPr>
          <w:b/>
          <w:bCs/>
        </w:rPr>
        <w:t xml:space="preserve">La représentation de la bourgeoisie dans </w:t>
      </w:r>
      <w:r>
        <w:rPr>
          <w:b/>
          <w:bCs/>
          <w:i/>
        </w:rPr>
        <w:t>Huis clos</w:t>
      </w:r>
      <w:r>
        <w:rPr>
          <w:b/>
          <w:bCs/>
        </w:rPr>
        <w:t xml:space="preserve">, </w:t>
      </w:r>
      <w:r>
        <w:rPr>
          <w:b/>
          <w:bCs/>
          <w:i/>
        </w:rPr>
        <w:t>La noire de</w:t>
      </w:r>
      <w:r>
        <w:rPr>
          <w:b/>
          <w:bCs/>
        </w:rPr>
        <w:t xml:space="preserve"> et </w:t>
      </w:r>
      <w:r>
        <w:rPr>
          <w:b/>
          <w:bCs/>
          <w:i/>
        </w:rPr>
        <w:t>Le dieu du carnage</w:t>
      </w:r>
      <w:r>
        <w:rPr>
          <w:b/>
          <w:bCs/>
        </w:rPr>
        <w:t>.</w:t>
      </w:r>
    </w:p>
    <w:p>
      <w:pPr>
        <w:pStyle w:val="ListParagraph"/>
        <w:numPr>
          <w:ilvl w:val="0"/>
          <w:numId w:val="1"/>
        </w:numPr>
        <w:rPr>
          <w:b/>
          <w:b/>
          <w:bCs/>
        </w:rPr>
      </w:pPr>
      <w:r>
        <w:rPr>
          <w:b/>
          <w:bCs/>
        </w:rPr>
        <w:t xml:space="preserve">La caricature dans </w:t>
      </w:r>
      <w:r>
        <w:rPr>
          <w:b/>
          <w:bCs/>
          <w:i/>
          <w:iCs/>
        </w:rPr>
        <w:t>Le Dieu du carnage</w:t>
      </w:r>
      <w:r>
        <w:rPr>
          <w:b/>
          <w:bCs/>
        </w:rPr>
        <w:t>.</w:t>
      </w:r>
    </w:p>
    <w:p>
      <w:pPr>
        <w:pStyle w:val="ListParagraph"/>
        <w:numPr>
          <w:ilvl w:val="0"/>
          <w:numId w:val="1"/>
        </w:numPr>
        <w:rPr>
          <w:b/>
          <w:b/>
          <w:bCs/>
        </w:rPr>
      </w:pPr>
      <w:r>
        <w:rPr>
          <w:b/>
          <w:bCs/>
        </w:rPr>
        <w:t xml:space="preserve">Le thème de la mémoire dans </w:t>
      </w:r>
      <w:r>
        <w:rPr>
          <w:b/>
          <w:bCs/>
          <w:i/>
          <w:iCs/>
        </w:rPr>
        <w:t>Homo sapienne.</w:t>
      </w:r>
    </w:p>
    <w:p>
      <w:pPr>
        <w:pStyle w:val="ListParagraph"/>
        <w:numPr>
          <w:ilvl w:val="0"/>
          <w:numId w:val="1"/>
        </w:numPr>
        <w:rPr>
          <w:b/>
          <w:b/>
          <w:bCs/>
        </w:rPr>
      </w:pPr>
      <w:r>
        <w:rPr>
          <w:b/>
          <w:bCs/>
        </w:rPr>
        <w:t xml:space="preserve">Le thème de la littérature dans </w:t>
      </w:r>
      <w:r>
        <w:rPr>
          <w:b/>
          <w:bCs/>
          <w:i/>
          <w:iCs/>
        </w:rPr>
        <w:t>Le vieux qui lisait des romans d’amour.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Consignes :</w:t>
      </w:r>
    </w:p>
    <w:p>
      <w:pPr>
        <w:pStyle w:val="ListParagraph"/>
        <w:numPr>
          <w:ilvl w:val="0"/>
          <w:numId w:val="2"/>
        </w:numPr>
        <w:rPr>
          <w:b/>
          <w:b/>
          <w:bCs/>
        </w:rPr>
      </w:pPr>
      <w:r>
        <w:rPr>
          <w:b/>
          <w:bCs/>
        </w:rPr>
        <w:t>Il ne pourra pas avoir plus de 3 équipes travaillant sur le même sujet.</w:t>
      </w:r>
    </w:p>
    <w:p>
      <w:pPr>
        <w:pStyle w:val="ListParagraph"/>
        <w:numPr>
          <w:ilvl w:val="0"/>
          <w:numId w:val="2"/>
        </w:numPr>
        <w:rPr>
          <w:b/>
          <w:b/>
          <w:bCs/>
        </w:rPr>
      </w:pPr>
      <w:r>
        <w:rPr>
          <w:b/>
          <w:bCs/>
        </w:rPr>
        <w:t>Chaque membre de l’équipe devra parler pendant 2 minutes.</w:t>
      </w:r>
    </w:p>
    <w:p>
      <w:pPr>
        <w:pStyle w:val="ListParagraph"/>
        <w:numPr>
          <w:ilvl w:val="0"/>
          <w:numId w:val="2"/>
        </w:numPr>
        <w:rPr>
          <w:b/>
          <w:b/>
          <w:bCs/>
        </w:rPr>
      </w:pPr>
      <w:r>
        <w:rPr>
          <w:b/>
          <w:bCs/>
        </w:rPr>
        <w:t>Chaque équipe devra présenter au moins 2 nouvelles informations concernant le contexte sociohistorique de l’(ou des) œuvre(s) concernée(s).</w:t>
      </w:r>
    </w:p>
    <w:p>
      <w:pPr>
        <w:pStyle w:val="ListParagraph"/>
        <w:numPr>
          <w:ilvl w:val="0"/>
          <w:numId w:val="2"/>
        </w:numPr>
        <w:rPr>
          <w:b/>
          <w:b/>
          <w:bCs/>
        </w:rPr>
      </w:pPr>
      <w:r>
        <w:rPr>
          <w:b/>
          <w:bCs/>
        </w:rPr>
        <w:t>Chaque équipe devra présenter au moins 3 citations (au total).</w:t>
      </w:r>
    </w:p>
    <w:p>
      <w:pPr>
        <w:pStyle w:val="ListParagraph"/>
        <w:numPr>
          <w:ilvl w:val="0"/>
          <w:numId w:val="2"/>
        </w:numPr>
        <w:rPr>
          <w:b/>
          <w:b/>
          <w:bCs/>
        </w:rPr>
      </w:pPr>
      <w:r>
        <w:rPr>
          <w:b/>
          <w:bCs/>
        </w:rPr>
        <w:t>Chaque équipe fournira un support visuel (powerpoint commenté, courte vidéo dans laquelle des membres de l’équipe sont filmés, photos commentées, etc).</w:t>
      </w:r>
    </w:p>
    <w:p>
      <w:pPr>
        <w:pStyle w:val="ListParagraph"/>
        <w:numPr>
          <w:ilvl w:val="0"/>
          <w:numId w:val="2"/>
        </w:numPr>
        <w:rPr>
          <w:b/>
          <w:b/>
          <w:bCs/>
        </w:rPr>
      </w:pPr>
      <w:r>
        <w:rPr>
          <w:b/>
          <w:bCs/>
        </w:rPr>
        <w:t>Chaque équipe devra remettre le plan complété au cours précédant l’oral.</w:t>
      </w:r>
    </w:p>
    <w:p>
      <w:pPr>
        <w:pStyle w:val="ListParagraph"/>
        <w:numPr>
          <w:ilvl w:val="0"/>
          <w:numId w:val="2"/>
        </w:numPr>
        <w:rPr>
          <w:b/>
          <w:b/>
          <w:bCs/>
        </w:rPr>
      </w:pPr>
      <w:r>
        <w:rPr>
          <w:b/>
          <w:bCs/>
        </w:rPr>
        <w:t xml:space="preserve">Une absence au cours 13B causera votre retrait de l’équipe dont vous faisiez partie et vous devrez faire votre oral seul.e. 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Avertissements :</w:t>
      </w:r>
    </w:p>
    <w:p>
      <w:pPr>
        <w:pStyle w:val="ListParagraph"/>
        <w:numPr>
          <w:ilvl w:val="0"/>
          <w:numId w:val="3"/>
        </w:numPr>
        <w:rPr>
          <w:b/>
          <w:b/>
          <w:bCs/>
        </w:rPr>
      </w:pPr>
      <w:r>
        <w:rPr>
          <w:b/>
          <w:bCs/>
        </w:rPr>
        <w:t>Comme pour toute évaluation dans le cadre d’un cours de littérature, vous devrez faire attention à ne pas glisser dans l’opinion ou dans les réflexions sur des idées vagues (l’histoire de l’humanité et compagnie). Assurez-vous de tout relier à un élément littéraire ou culturel ou à des événements historiques précis afin de faire preuve de l’acquisition des compétences demandées pour le cours. Ceci dit, vous NE DEVEZ PAS faire une dissertation.</w:t>
      </w:r>
    </w:p>
    <w:p>
      <w:pPr>
        <w:pStyle w:val="ListParagraph"/>
        <w:numPr>
          <w:ilvl w:val="0"/>
          <w:numId w:val="3"/>
        </w:numPr>
        <w:rPr>
          <w:b/>
          <w:b/>
          <w:bCs/>
        </w:rPr>
      </w:pPr>
      <w:r>
        <w:rPr>
          <w:b/>
          <w:bCs/>
        </w:rPr>
        <w:t xml:space="preserve">Bien que l’évaluation se prépare en équipe, vous serez évalué.es de façon individuelle. 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center"/>
        <w:rPr>
          <w:b/>
          <w:b/>
          <w:bCs/>
        </w:rPr>
      </w:pPr>
      <w:r>
        <w:rPr>
          <w:b/>
          <w:bCs/>
        </w:rPr>
        <w:t xml:space="preserve">Plan pour l’oral </w:t>
      </w:r>
    </w:p>
    <w:tbl>
      <w:tblPr>
        <w:tblStyle w:val="Grilledutableau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  <w:t>Présentation du sujet et de votre présentation (présenter également les membres de l’équipe)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  <w:t>Approfondissement du sujet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  <w:t>Présentation des citations et de leur interprétation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  <w:t>Conclusion (retour)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Arial"/>
                <w:b/>
                <w:bCs/>
                <w:kern w:val="0"/>
                <w:sz w:val="22"/>
                <w:szCs w:val="22"/>
                <w:lang w:val="fr-CA" w:eastAsia="en-US" w:bidi="ar-SA"/>
              </w:rPr>
            </w:r>
          </w:p>
        </w:tc>
      </w:tr>
    </w:tbl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ind w:left="360" w:hanging="0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ind w:left="360" w:hanging="0"/>
        <w:rPr>
          <w:b/>
          <w:b/>
          <w:bCs/>
        </w:rPr>
      </w:pPr>
      <w:r>
        <w:rPr>
          <w:b/>
          <w:bCs/>
        </w:rPr>
        <w:t>Exemples de façon d’approfondir un sujet :</w:t>
      </w:r>
    </w:p>
    <w:p>
      <w:pPr>
        <w:pStyle w:val="Normal"/>
        <w:ind w:left="360" w:hanging="0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ind w:left="360" w:hanging="0"/>
        <w:rPr>
          <w:b/>
          <w:b/>
          <w:bCs/>
        </w:rPr>
      </w:pPr>
      <w:r>
        <w:rPr>
          <w:b/>
          <w:bCs/>
        </w:rPr>
      </w:r>
    </w:p>
    <w:p>
      <w:pPr>
        <w:pStyle w:val="ListParagraph"/>
        <w:numPr>
          <w:ilvl w:val="0"/>
          <w:numId w:val="4"/>
        </w:numPr>
        <w:rPr>
          <w:color w:val="C9211E"/>
        </w:rPr>
      </w:pPr>
      <w:r>
        <w:rPr>
          <w:b/>
          <w:bCs/>
          <w:color w:val="C9211E"/>
        </w:rPr>
        <w:t xml:space="preserve">Pour un sujet portant sur plusieurs œuvres </w:t>
      </w:r>
    </w:p>
    <w:p>
      <w:pPr>
        <w:pStyle w:val="ListParagraph"/>
        <w:numPr>
          <w:ilvl w:val="0"/>
          <w:numId w:val="5"/>
        </w:numPr>
        <w:rPr>
          <w:color w:val="C9211E"/>
        </w:rPr>
      </w:pPr>
      <w:r>
        <w:rPr>
          <w:b/>
          <w:bCs/>
          <w:color w:val="C9211E"/>
        </w:rPr>
        <w:t>Trouver des éléments en commun et relever les nuances (thème traité différemment, personnages avec des caractéristiques similaires, appartenance au même courant littéraire mais caractéristiques différentes, etc);</w:t>
      </w:r>
    </w:p>
    <w:p>
      <w:pPr>
        <w:pStyle w:val="ListParagraph"/>
        <w:numPr>
          <w:ilvl w:val="0"/>
          <w:numId w:val="5"/>
        </w:numPr>
        <w:rPr>
          <w:color w:val="C9211E"/>
        </w:rPr>
      </w:pPr>
      <w:r>
        <w:rPr>
          <w:b/>
          <w:bCs/>
          <w:color w:val="C9211E"/>
        </w:rPr>
        <w:t>Comparer la réception que les œuvres ont eue de la part du public et du milieu culturel;</w:t>
      </w:r>
    </w:p>
    <w:p>
      <w:pPr>
        <w:pStyle w:val="ListParagraph"/>
        <w:numPr>
          <w:ilvl w:val="0"/>
          <w:numId w:val="5"/>
        </w:numPr>
        <w:rPr>
          <w:color w:val="C9211E"/>
        </w:rPr>
      </w:pPr>
      <w:r>
        <w:rPr>
          <w:b/>
          <w:bCs/>
          <w:color w:val="C9211E"/>
        </w:rPr>
        <w:t>Chercher des influences, des sources d’inspirations communes.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ListParagraph"/>
        <w:numPr>
          <w:ilvl w:val="0"/>
          <w:numId w:val="4"/>
        </w:numPr>
        <w:rPr>
          <w:b/>
          <w:b/>
          <w:bCs/>
        </w:rPr>
      </w:pPr>
      <w:r>
        <w:rPr>
          <w:b/>
          <w:bCs/>
        </w:rPr>
        <w:t>Pour un sujet portant sur un élément dans une seule œuvre</w:t>
      </w:r>
    </w:p>
    <w:p>
      <w:pPr>
        <w:pStyle w:val="ListParagraph"/>
        <w:numPr>
          <w:ilvl w:val="0"/>
          <w:numId w:val="6"/>
        </w:numPr>
        <w:rPr>
          <w:b/>
          <w:b/>
          <w:bCs/>
        </w:rPr>
      </w:pPr>
      <w:r>
        <w:rPr>
          <w:b/>
          <w:bCs/>
        </w:rPr>
        <w:t>Analyser la place que cet élément prend dans l’œuvre entière;</w:t>
      </w:r>
    </w:p>
    <w:p>
      <w:pPr>
        <w:pStyle w:val="ListParagraph"/>
        <w:numPr>
          <w:ilvl w:val="0"/>
          <w:numId w:val="6"/>
        </w:numPr>
        <w:rPr>
          <w:b/>
          <w:b/>
          <w:bCs/>
        </w:rPr>
      </w:pPr>
      <w:r>
        <w:rPr>
          <w:b/>
          <w:bCs/>
        </w:rPr>
        <w:t>Chercher des sources d’inspiration pour cet élément dans le contexte sociohistorique de l’œuvre;</w:t>
      </w:r>
    </w:p>
    <w:p>
      <w:pPr>
        <w:pStyle w:val="ListParagraph"/>
        <w:numPr>
          <w:ilvl w:val="0"/>
          <w:numId w:val="6"/>
        </w:numPr>
        <w:rPr>
          <w:b/>
          <w:b/>
          <w:bCs/>
        </w:rPr>
      </w:pPr>
      <w:r>
        <w:rPr>
          <w:b/>
          <w:bCs/>
        </w:rPr>
        <w:t>Analyser ce que cet élément apporte à l’œuvre (thèmes associés, moments clés dans l’intrigue, etc).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ListParagraph"/>
        <w:spacing w:before="0" w:after="160"/>
        <w:ind w:left="1800" w:hanging="0"/>
        <w:contextualSpacing/>
        <w:rPr>
          <w:b/>
          <w:b/>
          <w:bCs/>
        </w:rPr>
      </w:pPr>
      <w:r>
        <w:rPr/>
      </w:r>
    </w:p>
    <w:sectPr>
      <w:headerReference w:type="default" r:id="rId2"/>
      <w:type w:val="nextPage"/>
      <w:pgSz w:w="12240" w:h="15840"/>
      <w:pgMar w:left="1440" w:right="1440" w:gutter="0" w:header="708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Élisabeth Désourdy</w:t>
      <w:tab/>
      <w:tab/>
      <w:t>Cégep André-Laurendeau</w:t>
    </w:r>
  </w:p>
  <w:p>
    <w:pPr>
      <w:pStyle w:val="Header"/>
      <w:rPr/>
    </w:pPr>
    <w:r>
      <w:rPr/>
      <w:t>Littérature et imaginaire</w:t>
      <w:tab/>
      <w:tab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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9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56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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9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56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en-CA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fr-C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fr-CA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link w:val="Header"/>
    <w:uiPriority w:val="99"/>
    <w:qFormat/>
    <w:rsid w:val="00cf6873"/>
    <w:rPr/>
  </w:style>
  <w:style w:type="character" w:styleId="PieddepageCar" w:customStyle="1">
    <w:name w:val="Pied de page Car"/>
    <w:basedOn w:val="DefaultParagraphFont"/>
    <w:link w:val="Footer"/>
    <w:uiPriority w:val="99"/>
    <w:qFormat/>
    <w:rsid w:val="00cf6873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tteCar"/>
    <w:uiPriority w:val="99"/>
    <w:unhideWhenUsed/>
    <w:rsid w:val="00cf6873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depageCar"/>
    <w:uiPriority w:val="99"/>
    <w:unhideWhenUsed/>
    <w:rsid w:val="00cf6873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cf6873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c351f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Application>LibreOffice/7.3.7.2$Linux_X86_64 LibreOffice_project/30$Build-2</Application>
  <AppVersion>15.0000</AppVersion>
  <Pages>3</Pages>
  <Words>512</Words>
  <Characters>2613</Characters>
  <CharactersWithSpaces>3065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2022-06-14T01:08:00Z</dcterms:created>
  <dc:creator>Élisabeth Désourdy</dc:creator>
  <dc:description/>
  <dc:language>en-US</dc:language>
  <cp:lastModifiedBy/>
  <dcterms:modified xsi:type="dcterms:W3CDTF">2023-04-20T12:03:54Z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